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8E6F" w14:textId="72AE22B2" w:rsidR="00F56839" w:rsidRPr="00073F0C" w:rsidRDefault="00FE71EB" w:rsidP="00CC116E">
      <w:pPr>
        <w:pStyle w:val="Title"/>
        <w:rPr>
          <w:b/>
          <w:sz w:val="28"/>
          <w:szCs w:val="28"/>
        </w:rPr>
      </w:pPr>
      <w:r w:rsidRPr="00073F0C">
        <w:rPr>
          <w:b/>
          <w:sz w:val="28"/>
          <w:szCs w:val="28"/>
        </w:rPr>
        <w:t>Engagement of People with Lived Experience of Dementia (EPLED) in research</w:t>
      </w:r>
    </w:p>
    <w:p w14:paraId="7D13B6D6" w14:textId="6EE7E1EF" w:rsidR="00073F0C" w:rsidRPr="00073F0C" w:rsidRDefault="00073F0C" w:rsidP="00073F0C">
      <w:pPr>
        <w:pStyle w:val="Title"/>
        <w:rPr>
          <w:sz w:val="28"/>
          <w:szCs w:val="28"/>
        </w:rPr>
      </w:pPr>
      <w:r w:rsidRPr="00073F0C">
        <w:rPr>
          <w:sz w:val="28"/>
          <w:szCs w:val="28"/>
        </w:rPr>
        <w:t>Reference list</w:t>
      </w:r>
    </w:p>
    <w:p w14:paraId="0797A1CE" w14:textId="0557DBB5" w:rsidR="001B089E" w:rsidRPr="00CC116E" w:rsidRDefault="002544F9" w:rsidP="00CC116E">
      <w:pPr>
        <w:pStyle w:val="Heading2"/>
        <w:numPr>
          <w:ilvl w:val="0"/>
          <w:numId w:val="6"/>
        </w:numPr>
        <w:spacing w:before="360"/>
        <w:rPr>
          <w:b/>
        </w:rPr>
      </w:pPr>
      <w:r w:rsidRPr="00CC116E">
        <w:rPr>
          <w:b/>
        </w:rPr>
        <w:t>L</w:t>
      </w:r>
      <w:r w:rsidR="00A55CE6" w:rsidRPr="00CC116E">
        <w:rPr>
          <w:b/>
        </w:rPr>
        <w:t>anguage about dementia and writing for different audiences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1"/>
        <w:gridCol w:w="6439"/>
      </w:tblGrid>
      <w:tr w:rsidR="00A55CE6" w:rsidRPr="00501378" w14:paraId="4E7259CE" w14:textId="77777777" w:rsidTr="00A719B8">
        <w:tc>
          <w:tcPr>
            <w:tcW w:w="2943" w:type="dxa"/>
          </w:tcPr>
          <w:p w14:paraId="622C7059" w14:textId="77777777" w:rsidR="00A55CE6" w:rsidRDefault="00A55CE6" w:rsidP="00A719B8">
            <w:pPr>
              <w:snapToGrid w:val="0"/>
              <w:spacing w:before="60" w:after="60"/>
            </w:pPr>
            <w:r>
              <w:t>Alzheimer Society of Canada</w:t>
            </w:r>
          </w:p>
        </w:tc>
        <w:tc>
          <w:tcPr>
            <w:tcW w:w="6521" w:type="dxa"/>
          </w:tcPr>
          <w:p w14:paraId="5DDEFBE5" w14:textId="77777777" w:rsidR="00A55CE6" w:rsidRDefault="00D24CB8" w:rsidP="00A719B8">
            <w:pPr>
              <w:snapToGrid w:val="0"/>
              <w:spacing w:before="60" w:after="60"/>
            </w:pPr>
            <w:hyperlink r:id="rId7" w:history="1">
              <w:r w:rsidR="00A55CE6" w:rsidRPr="00501378">
                <w:rPr>
                  <w:rStyle w:val="Hyperlink"/>
                </w:rPr>
                <w:t>Person-centred language guidelines</w:t>
              </w:r>
            </w:hyperlink>
          </w:p>
        </w:tc>
      </w:tr>
      <w:tr w:rsidR="00A55CE6" w:rsidRPr="00501378" w14:paraId="3F724D26" w14:textId="77777777" w:rsidTr="00A719B8">
        <w:tc>
          <w:tcPr>
            <w:tcW w:w="2943" w:type="dxa"/>
          </w:tcPr>
          <w:p w14:paraId="13EC16F8" w14:textId="77777777" w:rsidR="00A55CE6" w:rsidRDefault="00A55CE6" w:rsidP="00A719B8">
            <w:pPr>
              <w:snapToGrid w:val="0"/>
              <w:spacing w:before="60" w:after="60"/>
            </w:pPr>
            <w:r>
              <w:t>Alzheimer Australia</w:t>
            </w:r>
          </w:p>
        </w:tc>
        <w:tc>
          <w:tcPr>
            <w:tcW w:w="6521" w:type="dxa"/>
          </w:tcPr>
          <w:p w14:paraId="6339E77B" w14:textId="77777777" w:rsidR="00A55CE6" w:rsidRDefault="00D24CB8" w:rsidP="00A719B8">
            <w:pPr>
              <w:snapToGrid w:val="0"/>
              <w:spacing w:before="60" w:after="60"/>
            </w:pPr>
            <w:hyperlink r:id="rId8" w:history="1">
              <w:r w:rsidR="00A55CE6" w:rsidRPr="001C5027">
                <w:rPr>
                  <w:rStyle w:val="Hyperlink"/>
                </w:rPr>
                <w:t>Dementia language guidelines</w:t>
              </w:r>
            </w:hyperlink>
          </w:p>
        </w:tc>
      </w:tr>
      <w:tr w:rsidR="00A55CE6" w:rsidRPr="00501378" w14:paraId="730E1290" w14:textId="77777777" w:rsidTr="00A719B8">
        <w:tc>
          <w:tcPr>
            <w:tcW w:w="2943" w:type="dxa"/>
          </w:tcPr>
          <w:p w14:paraId="1F068120" w14:textId="77777777" w:rsidR="00A55CE6" w:rsidRPr="001C5027" w:rsidRDefault="00A55CE6" w:rsidP="00A719B8">
            <w:pPr>
              <w:snapToGrid w:val="0"/>
              <w:spacing w:before="60" w:after="60"/>
            </w:pPr>
            <w:r w:rsidRPr="001C5027">
              <w:t>Alzheimer’s Society (UK)</w:t>
            </w:r>
          </w:p>
        </w:tc>
        <w:tc>
          <w:tcPr>
            <w:tcW w:w="6521" w:type="dxa"/>
          </w:tcPr>
          <w:p w14:paraId="579465B1" w14:textId="77777777" w:rsidR="00A55CE6" w:rsidRDefault="00D24CB8" w:rsidP="00A719B8">
            <w:pPr>
              <w:snapToGrid w:val="0"/>
              <w:spacing w:before="60" w:after="60"/>
            </w:pPr>
            <w:hyperlink r:id="rId9" w:history="1">
              <w:r w:rsidR="00A55CE6" w:rsidRPr="001C5027">
                <w:rPr>
                  <w:rStyle w:val="Hyperlink"/>
                </w:rPr>
                <w:t>Positive language. An Alzheimer’s Society guide to talking about dementia</w:t>
              </w:r>
            </w:hyperlink>
          </w:p>
        </w:tc>
      </w:tr>
      <w:tr w:rsidR="00A55CE6" w:rsidRPr="00501378" w14:paraId="164BCFE7" w14:textId="77777777" w:rsidTr="00A719B8">
        <w:tc>
          <w:tcPr>
            <w:tcW w:w="2943" w:type="dxa"/>
          </w:tcPr>
          <w:p w14:paraId="1789D18A" w14:textId="77777777" w:rsidR="00A55CE6" w:rsidRPr="001C5027" w:rsidRDefault="00A55CE6" w:rsidP="00A719B8">
            <w:pPr>
              <w:snapToGrid w:val="0"/>
              <w:spacing w:before="60" w:after="60"/>
            </w:pPr>
            <w:r w:rsidRPr="001C5027">
              <w:t>Alzheimer’s Society (UK)</w:t>
            </w:r>
          </w:p>
        </w:tc>
        <w:tc>
          <w:tcPr>
            <w:tcW w:w="6521" w:type="dxa"/>
          </w:tcPr>
          <w:p w14:paraId="1D385CC6" w14:textId="77777777" w:rsidR="00A55CE6" w:rsidRDefault="00D24CB8" w:rsidP="00A719B8">
            <w:pPr>
              <w:snapToGrid w:val="0"/>
              <w:spacing w:before="60" w:after="60"/>
            </w:pPr>
            <w:hyperlink r:id="rId10" w:history="1">
              <w:r w:rsidR="00A55CE6" w:rsidRPr="009A5C40">
                <w:rPr>
                  <w:rStyle w:val="Hyperlink"/>
                </w:rPr>
                <w:t>Advice for grant applicants from people affected by dementia</w:t>
              </w:r>
            </w:hyperlink>
          </w:p>
        </w:tc>
      </w:tr>
      <w:tr w:rsidR="00A55CE6" w:rsidRPr="00501378" w14:paraId="339A471A" w14:textId="77777777" w:rsidTr="00A719B8">
        <w:tc>
          <w:tcPr>
            <w:tcW w:w="2943" w:type="dxa"/>
          </w:tcPr>
          <w:p w14:paraId="54E43E1A" w14:textId="77777777" w:rsidR="00A55CE6" w:rsidRPr="001C5027" w:rsidRDefault="00A55CE6" w:rsidP="00A719B8">
            <w:pPr>
              <w:snapToGrid w:val="0"/>
              <w:spacing w:before="60" w:after="60"/>
            </w:pPr>
            <w:r w:rsidRPr="001C5027">
              <w:t>The Dementia Engagement and Empowerment Project</w:t>
            </w:r>
          </w:p>
        </w:tc>
        <w:tc>
          <w:tcPr>
            <w:tcW w:w="6521" w:type="dxa"/>
          </w:tcPr>
          <w:p w14:paraId="57BE1E39" w14:textId="51BEA54C" w:rsidR="00A55CE6" w:rsidRPr="00A55CE6" w:rsidRDefault="00D24CB8" w:rsidP="00A719B8">
            <w:pPr>
              <w:snapToGrid w:val="0"/>
              <w:spacing w:before="60" w:after="60"/>
            </w:pPr>
            <w:hyperlink r:id="rId11" w:history="1">
              <w:r w:rsidR="00A55CE6" w:rsidRPr="001C5027">
                <w:rPr>
                  <w:rStyle w:val="Hyperlink"/>
                </w:rPr>
                <w:t>Dementia words matter: Guidelines on language about dementia</w:t>
              </w:r>
            </w:hyperlink>
          </w:p>
        </w:tc>
      </w:tr>
      <w:tr w:rsidR="00A55CE6" w:rsidRPr="00501378" w14:paraId="45F628C3" w14:textId="77777777" w:rsidTr="00A719B8">
        <w:tc>
          <w:tcPr>
            <w:tcW w:w="2943" w:type="dxa"/>
          </w:tcPr>
          <w:p w14:paraId="41C190B1" w14:textId="77777777" w:rsidR="00A55CE6" w:rsidRDefault="00A55CE6" w:rsidP="00A719B8">
            <w:pPr>
              <w:snapToGrid w:val="0"/>
              <w:spacing w:before="60" w:after="60"/>
            </w:pPr>
            <w:r>
              <w:t>NIHR|INVOLVE</w:t>
            </w:r>
          </w:p>
        </w:tc>
        <w:tc>
          <w:tcPr>
            <w:tcW w:w="6521" w:type="dxa"/>
          </w:tcPr>
          <w:p w14:paraId="39D89C6F" w14:textId="77777777" w:rsidR="00A55CE6" w:rsidRDefault="00D24CB8" w:rsidP="00A719B8">
            <w:pPr>
              <w:snapToGrid w:val="0"/>
              <w:spacing w:before="60" w:after="60"/>
            </w:pPr>
            <w:hyperlink r:id="rId12" w:history="1">
              <w:r w:rsidR="00A55CE6" w:rsidRPr="004403C9">
                <w:rPr>
                  <w:rStyle w:val="Hyperlink"/>
                </w:rPr>
                <w:t>Make it clear. Writ</w:t>
              </w:r>
              <w:r w:rsidR="00A55CE6">
                <w:rPr>
                  <w:rStyle w:val="Hyperlink"/>
                </w:rPr>
                <w:t>ing and using plain English sum</w:t>
              </w:r>
              <w:r w:rsidR="00A55CE6" w:rsidRPr="004403C9">
                <w:rPr>
                  <w:rStyle w:val="Hyperlink"/>
                </w:rPr>
                <w:t>maries</w:t>
              </w:r>
            </w:hyperlink>
          </w:p>
        </w:tc>
      </w:tr>
    </w:tbl>
    <w:p w14:paraId="07BAB9F1" w14:textId="2AFA93C4" w:rsidR="00A55CE6" w:rsidRPr="00CC116E" w:rsidRDefault="00124AE7" w:rsidP="00CC116E">
      <w:pPr>
        <w:pStyle w:val="Heading2"/>
        <w:numPr>
          <w:ilvl w:val="0"/>
          <w:numId w:val="6"/>
        </w:numPr>
        <w:spacing w:before="360"/>
        <w:rPr>
          <w:b/>
        </w:rPr>
      </w:pPr>
      <w:r>
        <w:rPr>
          <w:b/>
        </w:rPr>
        <w:t>Patient e</w:t>
      </w:r>
      <w:r w:rsidR="00F56839" w:rsidRPr="00CC116E">
        <w:rPr>
          <w:b/>
        </w:rPr>
        <w:t>ngagement and d</w:t>
      </w:r>
      <w:r w:rsidR="00A55CE6" w:rsidRPr="00CC116E">
        <w:rPr>
          <w:b/>
        </w:rPr>
        <w:t xml:space="preserve">ementia-friendly research </w:t>
      </w:r>
      <w:r>
        <w:rPr>
          <w:b/>
        </w:rPr>
        <w:t>practices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18"/>
        <w:gridCol w:w="6442"/>
      </w:tblGrid>
      <w:tr w:rsidR="00F56839" w:rsidRPr="00501378" w14:paraId="2F49BDAB" w14:textId="77777777" w:rsidTr="00A719B8">
        <w:tc>
          <w:tcPr>
            <w:tcW w:w="2943" w:type="dxa"/>
          </w:tcPr>
          <w:p w14:paraId="007D487B" w14:textId="77777777" w:rsidR="00F56839" w:rsidRPr="00501378" w:rsidRDefault="00F56839" w:rsidP="00A719B8">
            <w:pPr>
              <w:snapToGrid w:val="0"/>
              <w:spacing w:before="60" w:after="60"/>
            </w:pPr>
            <w:r>
              <w:t>Alzheimer Society of Canada</w:t>
            </w:r>
          </w:p>
        </w:tc>
        <w:tc>
          <w:tcPr>
            <w:tcW w:w="6521" w:type="dxa"/>
          </w:tcPr>
          <w:p w14:paraId="615259BE" w14:textId="77777777" w:rsidR="00F56839" w:rsidRPr="00501378" w:rsidRDefault="00D24CB8" w:rsidP="00A719B8">
            <w:pPr>
              <w:snapToGrid w:val="0"/>
              <w:spacing w:before="60" w:after="60"/>
            </w:pPr>
            <w:hyperlink r:id="rId13" w:history="1">
              <w:r w:rsidR="00F56839" w:rsidRPr="00501378">
                <w:rPr>
                  <w:rStyle w:val="Hyperlink"/>
                </w:rPr>
                <w:t>Meaningful engagement of people with dementia. A Resource Guide.</w:t>
              </w:r>
            </w:hyperlink>
          </w:p>
        </w:tc>
      </w:tr>
      <w:tr w:rsidR="00A55CE6" w:rsidRPr="00501378" w14:paraId="1C667BD0" w14:textId="77777777" w:rsidTr="00A719B8">
        <w:tc>
          <w:tcPr>
            <w:tcW w:w="2943" w:type="dxa"/>
          </w:tcPr>
          <w:p w14:paraId="388B087A" w14:textId="77777777" w:rsidR="00A55CE6" w:rsidRDefault="00A55CE6" w:rsidP="00A719B8">
            <w:pPr>
              <w:snapToGrid w:val="0"/>
              <w:spacing w:before="60" w:after="60"/>
            </w:pPr>
            <w:r w:rsidRPr="001C5027">
              <w:t>Alzheimer’s Society (UK)</w:t>
            </w:r>
          </w:p>
        </w:tc>
        <w:tc>
          <w:tcPr>
            <w:tcW w:w="6521" w:type="dxa"/>
          </w:tcPr>
          <w:p w14:paraId="48D10BE2" w14:textId="77777777" w:rsidR="00A55CE6" w:rsidRDefault="00D24CB8" w:rsidP="00A719B8">
            <w:pPr>
              <w:snapToGrid w:val="0"/>
              <w:spacing w:before="60" w:after="60"/>
            </w:pPr>
            <w:hyperlink r:id="rId14" w:history="1">
              <w:r w:rsidR="00A55CE6" w:rsidRPr="008C0091">
                <w:rPr>
                  <w:rStyle w:val="Hyperlink"/>
                </w:rPr>
                <w:t>Methods for finding out about the experience of people with dementia</w:t>
              </w:r>
            </w:hyperlink>
          </w:p>
          <w:p w14:paraId="16C1B598" w14:textId="77777777" w:rsidR="00A55CE6" w:rsidRDefault="00A55CE6" w:rsidP="00A719B8">
            <w:pPr>
              <w:snapToGrid w:val="0"/>
              <w:spacing w:before="60" w:after="60"/>
            </w:pPr>
            <w:r>
              <w:t>Includes sections on:</w:t>
            </w:r>
          </w:p>
          <w:p w14:paraId="20604F8E" w14:textId="77777777" w:rsidR="00A55CE6" w:rsidRDefault="00D24CB8" w:rsidP="00A719B8">
            <w:pPr>
              <w:pStyle w:val="ListParagraph"/>
              <w:numPr>
                <w:ilvl w:val="0"/>
                <w:numId w:val="3"/>
              </w:numPr>
              <w:snapToGrid w:val="0"/>
              <w:spacing w:before="60" w:after="60"/>
              <w:contextualSpacing w:val="0"/>
            </w:pPr>
            <w:hyperlink r:id="rId15" w:history="1">
              <w:r w:rsidR="00A55CE6" w:rsidRPr="00774D09">
                <w:rPr>
                  <w:rStyle w:val="Hyperlink"/>
                </w:rPr>
                <w:t>Tips for a dementia-friendly welcome at your activity or event</w:t>
              </w:r>
            </w:hyperlink>
          </w:p>
          <w:p w14:paraId="29D8AB11" w14:textId="77777777" w:rsidR="00A55CE6" w:rsidRDefault="00D24CB8" w:rsidP="00A719B8">
            <w:pPr>
              <w:pStyle w:val="ListParagraph"/>
              <w:numPr>
                <w:ilvl w:val="0"/>
                <w:numId w:val="3"/>
              </w:numPr>
              <w:snapToGrid w:val="0"/>
              <w:spacing w:before="60" w:after="60"/>
              <w:contextualSpacing w:val="0"/>
            </w:pPr>
            <w:hyperlink r:id="rId16" w:history="1">
              <w:r w:rsidR="00A55CE6" w:rsidRPr="00774D09">
                <w:rPr>
                  <w:rStyle w:val="Hyperlink"/>
                </w:rPr>
                <w:t>Surveys of people with dementia</w:t>
              </w:r>
            </w:hyperlink>
          </w:p>
          <w:p w14:paraId="782772A7" w14:textId="77777777" w:rsidR="00A55CE6" w:rsidRDefault="00D24CB8" w:rsidP="00A719B8">
            <w:pPr>
              <w:pStyle w:val="ListParagraph"/>
              <w:numPr>
                <w:ilvl w:val="0"/>
                <w:numId w:val="3"/>
              </w:numPr>
              <w:snapToGrid w:val="0"/>
              <w:spacing w:before="60" w:after="60"/>
              <w:contextualSpacing w:val="0"/>
            </w:pPr>
            <w:hyperlink r:id="rId17" w:history="1">
              <w:r w:rsidR="00A55CE6" w:rsidRPr="00774D09">
                <w:rPr>
                  <w:rStyle w:val="Hyperlink"/>
                </w:rPr>
                <w:t>Working with questions and data</w:t>
              </w:r>
            </w:hyperlink>
          </w:p>
        </w:tc>
      </w:tr>
      <w:tr w:rsidR="00A55CE6" w:rsidRPr="00501378" w14:paraId="12B73CA5" w14:textId="77777777" w:rsidTr="00A719B8">
        <w:tc>
          <w:tcPr>
            <w:tcW w:w="2943" w:type="dxa"/>
          </w:tcPr>
          <w:p w14:paraId="22A899E1" w14:textId="77777777" w:rsidR="00A55CE6" w:rsidRPr="001C5027" w:rsidRDefault="00A55CE6" w:rsidP="00A719B8">
            <w:pPr>
              <w:snapToGrid w:val="0"/>
              <w:spacing w:before="60" w:after="60"/>
            </w:pPr>
            <w:r w:rsidRPr="001C5027">
              <w:t>The Dementia Engagement and Empowerment Project</w:t>
            </w:r>
          </w:p>
        </w:tc>
        <w:tc>
          <w:tcPr>
            <w:tcW w:w="6521" w:type="dxa"/>
          </w:tcPr>
          <w:p w14:paraId="392412DF" w14:textId="77777777" w:rsidR="00A55CE6" w:rsidRDefault="00D24CB8" w:rsidP="00A719B8">
            <w:pPr>
              <w:snapToGrid w:val="0"/>
              <w:spacing w:before="60" w:after="60"/>
            </w:pPr>
            <w:hyperlink r:id="rId18" w:history="1">
              <w:r w:rsidR="00A55CE6" w:rsidRPr="009548AA">
                <w:rPr>
                  <w:rStyle w:val="Hyperlink"/>
                </w:rPr>
                <w:t>DEEP guides for organisations and communities</w:t>
              </w:r>
            </w:hyperlink>
          </w:p>
          <w:p w14:paraId="37F4CF73" w14:textId="77777777" w:rsidR="00A55CE6" w:rsidRDefault="00A55CE6" w:rsidP="00A719B8">
            <w:pPr>
              <w:snapToGrid w:val="0"/>
              <w:spacing w:before="60" w:after="60"/>
            </w:pPr>
            <w:r>
              <w:t>Includes sections on:</w:t>
            </w:r>
          </w:p>
          <w:p w14:paraId="45C751D5" w14:textId="77777777" w:rsidR="00A55CE6" w:rsidRDefault="00D24CB8" w:rsidP="00A719B8">
            <w:pPr>
              <w:pStyle w:val="ListParagraph"/>
              <w:numPr>
                <w:ilvl w:val="0"/>
                <w:numId w:val="4"/>
              </w:numPr>
              <w:snapToGrid w:val="0"/>
              <w:spacing w:before="60" w:after="60"/>
              <w:contextualSpacing w:val="0"/>
              <w:rPr>
                <w:rStyle w:val="Hyperlink"/>
              </w:rPr>
            </w:pPr>
            <w:hyperlink r:id="rId19" w:history="1">
              <w:r w:rsidR="00A55CE6" w:rsidRPr="00B53566">
                <w:rPr>
                  <w:rStyle w:val="Hyperlink"/>
                </w:rPr>
                <w:t>Choosing a dementia-friendly meeting space</w:t>
              </w:r>
            </w:hyperlink>
          </w:p>
          <w:p w14:paraId="0A9B372B" w14:textId="77777777" w:rsidR="00A55CE6" w:rsidRDefault="00D24CB8" w:rsidP="00A719B8">
            <w:pPr>
              <w:pStyle w:val="ListParagraph"/>
              <w:numPr>
                <w:ilvl w:val="0"/>
                <w:numId w:val="4"/>
              </w:numPr>
              <w:snapToGrid w:val="0"/>
              <w:spacing w:before="60" w:after="60"/>
              <w:contextualSpacing w:val="0"/>
              <w:rPr>
                <w:rStyle w:val="Hyperlink"/>
              </w:rPr>
            </w:pPr>
            <w:hyperlink r:id="rId20" w:history="1">
              <w:r w:rsidR="00A55CE6" w:rsidRPr="00086E12">
                <w:rPr>
                  <w:rStyle w:val="Hyperlink"/>
                </w:rPr>
                <w:t>Involving people with dementia as members of steering or advisory groups</w:t>
              </w:r>
            </w:hyperlink>
          </w:p>
          <w:p w14:paraId="7FA0177A" w14:textId="77777777" w:rsidR="00A55CE6" w:rsidRPr="00103E9E" w:rsidRDefault="00D24CB8" w:rsidP="00A719B8">
            <w:pPr>
              <w:pStyle w:val="ListParagraph"/>
              <w:numPr>
                <w:ilvl w:val="0"/>
                <w:numId w:val="4"/>
              </w:numPr>
              <w:snapToGrid w:val="0"/>
              <w:spacing w:before="60" w:after="60"/>
              <w:contextualSpacing w:val="0"/>
              <w:rPr>
                <w:color w:val="0000FF" w:themeColor="hyperlink"/>
                <w:u w:val="single"/>
              </w:rPr>
            </w:pPr>
            <w:hyperlink r:id="rId21" w:history="1">
              <w:r w:rsidR="00A55CE6" w:rsidRPr="00456974">
                <w:rPr>
                  <w:rStyle w:val="Hyperlink"/>
                </w:rPr>
                <w:t>Guide for conference presenters</w:t>
              </w:r>
            </w:hyperlink>
          </w:p>
          <w:p w14:paraId="3BB19FA0" w14:textId="77777777" w:rsidR="00A55CE6" w:rsidRPr="00456974" w:rsidRDefault="00D24CB8" w:rsidP="00A719B8">
            <w:pPr>
              <w:pStyle w:val="ListParagraph"/>
              <w:numPr>
                <w:ilvl w:val="0"/>
                <w:numId w:val="4"/>
              </w:numPr>
              <w:snapToGrid w:val="0"/>
              <w:spacing w:before="60" w:after="60"/>
              <w:contextualSpacing w:val="0"/>
              <w:rPr>
                <w:color w:val="0000FF" w:themeColor="hyperlink"/>
                <w:u w:val="single"/>
              </w:rPr>
            </w:pPr>
            <w:hyperlink r:id="rId22" w:history="1">
              <w:r w:rsidR="00A55CE6" w:rsidRPr="00103E9E">
                <w:rPr>
                  <w:rStyle w:val="Hyperlink"/>
                </w:rPr>
                <w:t>Involving people with dementia at conferences and events</w:t>
              </w:r>
            </w:hyperlink>
          </w:p>
          <w:p w14:paraId="2845A427" w14:textId="77777777" w:rsidR="00A55CE6" w:rsidRPr="009548AA" w:rsidRDefault="00D24CB8" w:rsidP="00A719B8">
            <w:pPr>
              <w:pStyle w:val="ListParagraph"/>
              <w:numPr>
                <w:ilvl w:val="0"/>
                <w:numId w:val="4"/>
              </w:numPr>
              <w:snapToGrid w:val="0"/>
              <w:spacing w:before="60" w:after="60"/>
              <w:contextualSpacing w:val="0"/>
              <w:rPr>
                <w:color w:val="0000FF" w:themeColor="hyperlink"/>
                <w:u w:val="single"/>
              </w:rPr>
            </w:pPr>
            <w:hyperlink r:id="rId23" w:history="1">
              <w:r w:rsidR="00A55CE6" w:rsidRPr="00456974">
                <w:rPr>
                  <w:rStyle w:val="Hyperlink"/>
                </w:rPr>
                <w:t>Tips for consulting people with dementia about written documents</w:t>
              </w:r>
            </w:hyperlink>
          </w:p>
        </w:tc>
      </w:tr>
      <w:tr w:rsidR="00F56839" w:rsidRPr="00501378" w14:paraId="42ADE237" w14:textId="77777777" w:rsidTr="00A719B8">
        <w:tc>
          <w:tcPr>
            <w:tcW w:w="2943" w:type="dxa"/>
          </w:tcPr>
          <w:p w14:paraId="30F4ACC9" w14:textId="77777777" w:rsidR="00F56839" w:rsidRDefault="00F56839" w:rsidP="00A719B8">
            <w:pPr>
              <w:snapToGrid w:val="0"/>
              <w:spacing w:before="60" w:after="60"/>
            </w:pPr>
            <w:r>
              <w:t>Partnerships in Dementia Care</w:t>
            </w:r>
          </w:p>
        </w:tc>
        <w:tc>
          <w:tcPr>
            <w:tcW w:w="6521" w:type="dxa"/>
          </w:tcPr>
          <w:p w14:paraId="35957B74" w14:textId="77777777" w:rsidR="00F56839" w:rsidRDefault="00D24CB8" w:rsidP="00A719B8">
            <w:pPr>
              <w:snapToGrid w:val="0"/>
              <w:spacing w:before="60" w:after="60"/>
            </w:pPr>
            <w:hyperlink r:id="rId24" w:history="1">
              <w:r w:rsidR="00F56839" w:rsidRPr="00B84770">
                <w:rPr>
                  <w:rStyle w:val="Hyperlink"/>
                </w:rPr>
                <w:t>Authentic Partnerships</w:t>
              </w:r>
            </w:hyperlink>
          </w:p>
        </w:tc>
      </w:tr>
      <w:tr w:rsidR="00A55CE6" w:rsidRPr="00501378" w14:paraId="4682AB22" w14:textId="77777777" w:rsidTr="00A719B8">
        <w:tc>
          <w:tcPr>
            <w:tcW w:w="2943" w:type="dxa"/>
          </w:tcPr>
          <w:p w14:paraId="59D61B34" w14:textId="77777777" w:rsidR="00A55CE6" w:rsidRDefault="00A55CE6" w:rsidP="00A719B8">
            <w:pPr>
              <w:snapToGrid w:val="0"/>
              <w:spacing w:before="60" w:after="60"/>
            </w:pPr>
            <w:r>
              <w:t>Scottish Dementia Working Group</w:t>
            </w:r>
          </w:p>
        </w:tc>
        <w:tc>
          <w:tcPr>
            <w:tcW w:w="6521" w:type="dxa"/>
          </w:tcPr>
          <w:p w14:paraId="05DE918E" w14:textId="77777777" w:rsidR="00A55CE6" w:rsidRDefault="00D24CB8" w:rsidP="00A719B8">
            <w:pPr>
              <w:snapToGrid w:val="0"/>
              <w:spacing w:before="60" w:after="60"/>
            </w:pPr>
            <w:hyperlink r:id="rId25" w:history="1">
              <w:r w:rsidR="00A55CE6" w:rsidRPr="0060623D">
                <w:rPr>
                  <w:rStyle w:val="Hyperlink"/>
                </w:rPr>
                <w:t>Dementia friendly meetings</w:t>
              </w:r>
            </w:hyperlink>
          </w:p>
        </w:tc>
      </w:tr>
      <w:tr w:rsidR="00F56839" w:rsidRPr="00501378" w14:paraId="4B7ACE98" w14:textId="77777777" w:rsidTr="00A719B8">
        <w:tc>
          <w:tcPr>
            <w:tcW w:w="2943" w:type="dxa"/>
          </w:tcPr>
          <w:p w14:paraId="0ECC7348" w14:textId="77777777" w:rsidR="00F56839" w:rsidRDefault="00F56839" w:rsidP="00A719B8">
            <w:pPr>
              <w:snapToGrid w:val="0"/>
              <w:spacing w:before="60" w:after="60"/>
            </w:pPr>
            <w:r>
              <w:t>Scottish Dementia Working Group</w:t>
            </w:r>
          </w:p>
        </w:tc>
        <w:tc>
          <w:tcPr>
            <w:tcW w:w="6521" w:type="dxa"/>
          </w:tcPr>
          <w:p w14:paraId="546F436F" w14:textId="77777777" w:rsidR="00F56839" w:rsidRDefault="00D24CB8" w:rsidP="00A719B8">
            <w:pPr>
              <w:snapToGrid w:val="0"/>
              <w:spacing w:before="60" w:after="60"/>
            </w:pPr>
            <w:hyperlink r:id="rId26" w:history="1">
              <w:r w:rsidR="00F56839" w:rsidRPr="0060623D">
                <w:rPr>
                  <w:rStyle w:val="Hyperlink"/>
                </w:rPr>
                <w:t>Core principles for involving people with dementia in research</w:t>
              </w:r>
            </w:hyperlink>
          </w:p>
        </w:tc>
      </w:tr>
    </w:tbl>
    <w:p w14:paraId="41E57BDD" w14:textId="77777777" w:rsidR="002544F9" w:rsidRDefault="002544F9" w:rsidP="002544F9">
      <w:pPr>
        <w:pStyle w:val="Heading3"/>
      </w:pPr>
      <w:r>
        <w:lastRenderedPageBreak/>
        <w:t>Journal Articles</w:t>
      </w:r>
    </w:p>
    <w:p w14:paraId="7305DB2F" w14:textId="0C7FE496" w:rsidR="002544F9" w:rsidRDefault="002544F9" w:rsidP="00083129">
      <w:pPr>
        <w:spacing w:before="120" w:after="120"/>
      </w:pPr>
      <w:r w:rsidRPr="00355C74">
        <w:t xml:space="preserve">Bethell J, Commisso E, Rostad HM, Puts M, Babineau J, Grinbergs-Saull A, Wighton MB, Hammel J, Doyle E, Nadeau S, McGilton KS. Patient engagement in research related to dementia: A scoping review. Dementia (London). 2018 Nov;17(8):944-975. </w:t>
      </w:r>
      <w:hyperlink r:id="rId27" w:history="1">
        <w:r w:rsidRPr="00A9029A">
          <w:rPr>
            <w:rStyle w:val="Hyperlink"/>
          </w:rPr>
          <w:t>https://doi.org/10.1177/1471301218789292</w:t>
        </w:r>
      </w:hyperlink>
      <w:r>
        <w:t xml:space="preserve"> </w:t>
      </w:r>
    </w:p>
    <w:p w14:paraId="71D8FEF8" w14:textId="0633D3A4" w:rsidR="002544F9" w:rsidRDefault="002544F9" w:rsidP="00083129">
      <w:pPr>
        <w:spacing w:before="120" w:after="120"/>
      </w:pPr>
      <w:r w:rsidRPr="00355C74">
        <w:t>Burton A, Ogden M, Cooper C.</w:t>
      </w:r>
      <w:r>
        <w:t xml:space="preserve"> (2019)</w:t>
      </w:r>
      <w:r w:rsidRPr="00355C74">
        <w:t xml:space="preserve"> Planning and enabling meaningful patient and public involvement in dementia research.</w:t>
      </w:r>
      <w:r>
        <w:t xml:space="preserve"> Curr Opin Psychiatry. </w:t>
      </w:r>
      <w:r w:rsidRPr="00355C74">
        <w:t xml:space="preserve">32(6):557-562. </w:t>
      </w:r>
      <w:hyperlink r:id="rId28" w:history="1">
        <w:r w:rsidRPr="00A9029A">
          <w:rPr>
            <w:rStyle w:val="Hyperlink"/>
          </w:rPr>
          <w:t>https://doi.org/10.1097/YCO.0000000000000548</w:t>
        </w:r>
      </w:hyperlink>
      <w:r>
        <w:t xml:space="preserve"> </w:t>
      </w:r>
    </w:p>
    <w:p w14:paraId="5C8DE1FC" w14:textId="7F1DF2EA" w:rsidR="002544F9" w:rsidRDefault="002544F9" w:rsidP="00083129">
      <w:pPr>
        <w:spacing w:before="120" w:after="120"/>
        <w:rPr>
          <w:rStyle w:val="Hyperlink"/>
        </w:rPr>
      </w:pPr>
      <w:r>
        <w:t xml:space="preserve">Di Lorito, C., Birt, L., Poland, F., Csipke, E., Gove, D., Diaz-Ponce, A., &amp; Orrell, M. (2017) A synthesis of the evidence on peer research with potentially vulnerable adults: How this relates to dementia. International Journal of Geriatric Psychiatry, 32(1), 58–67. </w:t>
      </w:r>
      <w:hyperlink r:id="rId29" w:history="1">
        <w:r w:rsidRPr="00A9029A">
          <w:rPr>
            <w:rStyle w:val="Hyperlink"/>
          </w:rPr>
          <w:t>https://doi.org/10.1002/gps.4577</w:t>
        </w:r>
      </w:hyperlink>
    </w:p>
    <w:p w14:paraId="3AFD06D3" w14:textId="465B40D6" w:rsidR="00FC6157" w:rsidRPr="00355C74" w:rsidRDefault="00FC6157" w:rsidP="00083129">
      <w:pPr>
        <w:spacing w:before="120" w:after="120"/>
      </w:pPr>
      <w:r w:rsidRPr="00FC6157">
        <w:t xml:space="preserve">Di Lorito, C., Godfrey, M., Dunlop, M., Bosco, A., Pollock, K., van der Wardt, V., Harwood, R.H. </w:t>
      </w:r>
      <w:r>
        <w:t>(</w:t>
      </w:r>
      <w:r w:rsidRPr="00FC6157">
        <w:t>2020</w:t>
      </w:r>
      <w:r>
        <w:t>)</w:t>
      </w:r>
      <w:r w:rsidRPr="00FC6157">
        <w:t xml:space="preserve">. Adding to the knowledge on Patient and Public Involvement: Reflections from an experience of co-research with carers of people with dementia. Health Expect. </w:t>
      </w:r>
      <w:hyperlink r:id="rId30" w:history="1">
        <w:r w:rsidRPr="0016392D">
          <w:rPr>
            <w:rStyle w:val="Hyperlink"/>
          </w:rPr>
          <w:t>https://doi.org/10.1111/hex.13049</w:t>
        </w:r>
      </w:hyperlink>
      <w:r>
        <w:t xml:space="preserve"> </w:t>
      </w:r>
    </w:p>
    <w:p w14:paraId="587B6642" w14:textId="77777777" w:rsidR="002544F9" w:rsidRDefault="002544F9" w:rsidP="00083129">
      <w:pPr>
        <w:spacing w:before="120" w:after="120"/>
      </w:pPr>
      <w:r w:rsidRPr="00355C74">
        <w:t xml:space="preserve">Dr€oes, R. M., Chattat, R., Diaz, A., Gove, D., Graff, M., Murphy, K.,. . . Charras, K. (2017) Social health and dementia: A European consensus on the operationalization of the concept and directions for research and practice. Aging &amp; Mental Health, 21(1), 4–17. </w:t>
      </w:r>
      <w:hyperlink r:id="rId31" w:history="1">
        <w:r w:rsidRPr="007803CC">
          <w:rPr>
            <w:rStyle w:val="Hyperlink"/>
          </w:rPr>
          <w:t>https://doi.org/10.1080/13607863.2016.1254596</w:t>
        </w:r>
      </w:hyperlink>
      <w:r>
        <w:t xml:space="preserve"> </w:t>
      </w:r>
    </w:p>
    <w:p w14:paraId="2EFD43D7" w14:textId="77777777" w:rsidR="002544F9" w:rsidRDefault="002544F9" w:rsidP="00083129">
      <w:pPr>
        <w:spacing w:before="120" w:after="120"/>
      </w:pPr>
      <w:r w:rsidRPr="003D6B26">
        <w:t xml:space="preserve">Dupuis, S. L., Gillies, J., Carson, J., Whyte, C., Genoe, R., Loiselle, L., &amp; Sadler, L. (2012) Moving beyond patient and client approaches: Mobilizing ‘authentic partnerships’ in dementia care, support and services. Dementia, 11(4), 427–452. </w:t>
      </w:r>
      <w:hyperlink r:id="rId32" w:history="1">
        <w:r w:rsidRPr="007803CC">
          <w:rPr>
            <w:rStyle w:val="Hyperlink"/>
          </w:rPr>
          <w:t>https://doi.org/10.1177/1471301211421063</w:t>
        </w:r>
      </w:hyperlink>
    </w:p>
    <w:p w14:paraId="4520522B" w14:textId="77777777" w:rsidR="002544F9" w:rsidRDefault="002544F9" w:rsidP="00083129">
      <w:pPr>
        <w:spacing w:before="120" w:after="120"/>
      </w:pPr>
      <w:r w:rsidRPr="0044539C">
        <w:t xml:space="preserve">Frank L, Shubeck E, Schicker M, Webb T, Maslow K, Gitlin L, </w:t>
      </w:r>
      <w:r>
        <w:t xml:space="preserve">et al. (2020) Contributions of persons living with dementia to scientific research meetings: best practices from the national research summit on care, services and supports for persons with dementia and their caregivers. </w:t>
      </w:r>
      <w:r w:rsidRPr="00086E12">
        <w:t>Am J Geriatr Psychiatry. 28(4):421-430.</w:t>
      </w:r>
      <w:r>
        <w:t xml:space="preserve"> </w:t>
      </w:r>
      <w:hyperlink r:id="rId33" w:history="1">
        <w:r w:rsidRPr="007803CC">
          <w:rPr>
            <w:rStyle w:val="Hyperlink"/>
          </w:rPr>
          <w:t>https://doi.org/10.1016/j.jagp.2019.10.014</w:t>
        </w:r>
      </w:hyperlink>
      <w:r>
        <w:t xml:space="preserve"> </w:t>
      </w:r>
    </w:p>
    <w:p w14:paraId="67642DE8" w14:textId="236442F7" w:rsidR="00321570" w:rsidRDefault="00321570" w:rsidP="00083129">
      <w:pPr>
        <w:spacing w:before="120" w:after="120"/>
      </w:pPr>
      <w:r w:rsidRPr="00321570">
        <w:t>Goeman D, King J, Koch S</w:t>
      </w:r>
      <w:r>
        <w:t xml:space="preserve">. (2016) </w:t>
      </w:r>
      <w:r w:rsidRPr="00321570">
        <w:t>Development of a model of dementia support and pathway for culturally and linguistically diverse communities using co-creation and participatory action research</w:t>
      </w:r>
      <w:r>
        <w:t xml:space="preserve">. </w:t>
      </w:r>
      <w:r w:rsidRPr="00321570">
        <w:t>BMJ Op</w:t>
      </w:r>
      <w:r>
        <w:t xml:space="preserve">en. </w:t>
      </w:r>
      <w:r w:rsidRPr="00321570">
        <w:t xml:space="preserve">6:e013064. </w:t>
      </w:r>
      <w:hyperlink r:id="rId34" w:history="1">
        <w:r w:rsidRPr="0016392D">
          <w:rPr>
            <w:rStyle w:val="Hyperlink"/>
          </w:rPr>
          <w:t>https://doi.org/10.1136/bmjopen-2016-013064</w:t>
        </w:r>
      </w:hyperlink>
      <w:r>
        <w:t xml:space="preserve"> </w:t>
      </w:r>
    </w:p>
    <w:p w14:paraId="1E6B1A3C" w14:textId="2632012F" w:rsidR="002544F9" w:rsidRPr="00355C74" w:rsidRDefault="002544F9" w:rsidP="00083129">
      <w:pPr>
        <w:spacing w:before="120" w:after="120"/>
      </w:pPr>
      <w:r w:rsidRPr="00355C74">
        <w:t xml:space="preserve">Gove, D., Diaz-Ponce, A., Georges, J., Moniz-Cook, E., Mountain, G., Chattat, R.,. . . European Working Group of People with Dementia. (2018) Alzheimer Europe’s position on involving people with dementia in research through PPI (patient and public involvement). Aging &amp; Mental Health, 22(6), 723–729. </w:t>
      </w:r>
      <w:hyperlink r:id="rId35" w:history="1">
        <w:r w:rsidRPr="00A9029A">
          <w:rPr>
            <w:rStyle w:val="Hyperlink"/>
          </w:rPr>
          <w:t>https://doi.org/10.1080/13607863.2017.1317334</w:t>
        </w:r>
      </w:hyperlink>
      <w:r>
        <w:t xml:space="preserve"> </w:t>
      </w:r>
    </w:p>
    <w:p w14:paraId="6786BC23" w14:textId="77777777" w:rsidR="002544F9" w:rsidRDefault="002544F9" w:rsidP="00083129">
      <w:pPr>
        <w:spacing w:before="120" w:after="120"/>
      </w:pPr>
      <w:r w:rsidRPr="00355C74">
        <w:t>Iliffe S, McGrath T, Mitchell D. The impact of patient and public involvement in the work of the Dementias &amp; Neurodegenerative Diseases Research Network (DeNDRoN): case studies.</w:t>
      </w:r>
      <w:r>
        <w:t xml:space="preserve"> (2013) Health Expect. </w:t>
      </w:r>
      <w:r w:rsidRPr="00355C74">
        <w:t xml:space="preserve">16(4):351-61. </w:t>
      </w:r>
      <w:hyperlink r:id="rId36" w:history="1">
        <w:r w:rsidRPr="00A9029A">
          <w:rPr>
            <w:rStyle w:val="Hyperlink"/>
          </w:rPr>
          <w:t>https://doi.org/10.1111/j.1369-7625.2011.00728.x</w:t>
        </w:r>
      </w:hyperlink>
      <w:r>
        <w:t xml:space="preserve"> </w:t>
      </w:r>
    </w:p>
    <w:p w14:paraId="36EC72DE" w14:textId="77777777" w:rsidR="002544F9" w:rsidRDefault="002544F9" w:rsidP="00083129">
      <w:pPr>
        <w:spacing w:before="120" w:after="120"/>
      </w:pPr>
      <w:r>
        <w:t xml:space="preserve">Litherland R, Burton J, Cheeseman M, Campbell D2, Hawkins M, Hawkins T, Oliver K, Scott D, Ward J, Nelis SM, Quinn C, Victor C, Clare L. Reflections on PPI from the 'Action on Living Well: Asking You' </w:t>
      </w:r>
      <w:r>
        <w:lastRenderedPageBreak/>
        <w:t xml:space="preserve">advisory network of people with dementia and carers as part of the IDEAL study. (2018) Dementia (London). 17(8):1035-1044. </w:t>
      </w:r>
      <w:hyperlink r:id="rId37" w:history="1">
        <w:r w:rsidRPr="00A9029A">
          <w:rPr>
            <w:rStyle w:val="Hyperlink"/>
          </w:rPr>
          <w:t>https://doi.org/10.1177/1471301218789309</w:t>
        </w:r>
      </w:hyperlink>
      <w:r>
        <w:t xml:space="preserve"> </w:t>
      </w:r>
    </w:p>
    <w:p w14:paraId="320A292A" w14:textId="4D910356" w:rsidR="003C690F" w:rsidRDefault="003C690F" w:rsidP="00083129">
      <w:pPr>
        <w:spacing w:before="120" w:after="120"/>
      </w:pPr>
      <w:r w:rsidRPr="003C690F">
        <w:t xml:space="preserve">Morbey, H., Harding, A.J.E., Swarbrick, C. et al. </w:t>
      </w:r>
      <w:r>
        <w:t xml:space="preserve">(2019). </w:t>
      </w:r>
      <w:r w:rsidRPr="003C690F">
        <w:t xml:space="preserve">Involving people living with dementia in research: an accessible modified Delphi survey for core outcome set development. Trials 20, 12. </w:t>
      </w:r>
      <w:hyperlink r:id="rId38" w:history="1">
        <w:r w:rsidRPr="0016392D">
          <w:rPr>
            <w:rStyle w:val="Hyperlink"/>
          </w:rPr>
          <w:t>https://doi.org/10.1186/s13063-018-3069-6</w:t>
        </w:r>
      </w:hyperlink>
      <w:r>
        <w:t xml:space="preserve"> </w:t>
      </w:r>
    </w:p>
    <w:p w14:paraId="27FF748F" w14:textId="7EF25740" w:rsidR="002544F9" w:rsidRDefault="002544F9" w:rsidP="00083129">
      <w:pPr>
        <w:spacing w:before="120" w:after="120"/>
      </w:pPr>
      <w:r>
        <w:t xml:space="preserve">Miah J, Dawes P, Edwards S, Leroi I, Starling B, Parsons S. Patient and public involvement in dementia research in the European Union: a scoping review. (2019) BMC Geriatr. 19(1):220. </w:t>
      </w:r>
      <w:hyperlink r:id="rId39" w:history="1">
        <w:r w:rsidRPr="00A9029A">
          <w:rPr>
            <w:rStyle w:val="Hyperlink"/>
          </w:rPr>
          <w:t>https://doi.org/10.1186/s12877-019-1217-9</w:t>
        </w:r>
      </w:hyperlink>
      <w:r>
        <w:t xml:space="preserve"> </w:t>
      </w:r>
    </w:p>
    <w:p w14:paraId="0E27577C" w14:textId="77777777" w:rsidR="002544F9" w:rsidRDefault="002544F9" w:rsidP="00083129">
      <w:pPr>
        <w:spacing w:before="120" w:after="120"/>
      </w:pPr>
      <w:r w:rsidRPr="00355C74">
        <w:t>Mockford, C., Murray, M., Seers, K., Oyebode, J., Grant, R., Boex, S., . . . Suleman, R. (2016). A SHARED study-the benefits and costs of setting up a health research study involving lay coresearchers and how we overcame the challenges. Research Involvement &amp; Engagement, 2, 8.</w:t>
      </w:r>
      <w:r>
        <w:t xml:space="preserve"> </w:t>
      </w:r>
      <w:hyperlink r:id="rId40" w:history="1">
        <w:r w:rsidRPr="00A9029A">
          <w:rPr>
            <w:rStyle w:val="Hyperlink"/>
          </w:rPr>
          <w:t>https://doi.org/10.1186/s40900-016-0021-3</w:t>
        </w:r>
      </w:hyperlink>
      <w:r>
        <w:t xml:space="preserve"> </w:t>
      </w:r>
    </w:p>
    <w:p w14:paraId="1653F91B" w14:textId="09A42A9F" w:rsidR="002544F9" w:rsidRDefault="002544F9" w:rsidP="00083129">
      <w:pPr>
        <w:spacing w:before="120" w:after="120"/>
      </w:pPr>
      <w:r>
        <w:t xml:space="preserve">Parveen S, Barker S, Kaur R, Kerry F, Mitchell W, Happs A, Fry G, Morrison V, Fortinsky R, Oyebode JR. (2018) Involving minority ethnic communities and diverse experts by experience in dementia research: The Caregiving HOPE Study. Dementia (London). 17(8):990-1000. </w:t>
      </w:r>
      <w:hyperlink r:id="rId41" w:history="1">
        <w:r w:rsidRPr="00A9029A">
          <w:rPr>
            <w:rStyle w:val="Hyperlink"/>
          </w:rPr>
          <w:t>https://doi.org/10.1177/1471301218789558</w:t>
        </w:r>
      </w:hyperlink>
      <w:r>
        <w:t xml:space="preserve"> </w:t>
      </w:r>
    </w:p>
    <w:p w14:paraId="7A03BFA5" w14:textId="4E8E352A" w:rsidR="003C690F" w:rsidRDefault="003C690F" w:rsidP="00083129">
      <w:pPr>
        <w:spacing w:before="120" w:after="120"/>
      </w:pPr>
      <w:r w:rsidRPr="003C690F">
        <w:t xml:space="preserve">Phillipson, L., &amp; Hammond, A. (2018). More Than Talking: A Scoping Review of Innovative Approaches to Qualitative Research Involving People With Dementia. International Journal of Qualitative Methods. </w:t>
      </w:r>
      <w:hyperlink r:id="rId42" w:history="1">
        <w:r w:rsidRPr="0016392D">
          <w:rPr>
            <w:rStyle w:val="Hyperlink"/>
          </w:rPr>
          <w:t>https://doi.org/10.1177/1609406918782784</w:t>
        </w:r>
      </w:hyperlink>
      <w:r>
        <w:t xml:space="preserve"> </w:t>
      </w:r>
    </w:p>
    <w:p w14:paraId="2F8E3342" w14:textId="449FA6D9" w:rsidR="00D5561F" w:rsidRDefault="00D5561F" w:rsidP="00083129">
      <w:pPr>
        <w:spacing w:before="120" w:after="120"/>
      </w:pPr>
      <w:r>
        <w:t>Phinney A. (2008) Promoting self-care through knowledge translation: a way to reach people with early-stage dementia. Can J Nurs Res. 40(3):135-9.</w:t>
      </w:r>
    </w:p>
    <w:p w14:paraId="2157F0B8" w14:textId="3F4F7252" w:rsidR="002544F9" w:rsidRDefault="002544F9" w:rsidP="00083129">
      <w:pPr>
        <w:spacing w:before="120" w:after="120"/>
      </w:pPr>
      <w:r w:rsidRPr="00DC018A">
        <w:t>Roberts C,</w:t>
      </w:r>
      <w:r>
        <w:t xml:space="preserve"> Rochford-Brennan H, Goodrick J</w:t>
      </w:r>
      <w:r w:rsidRPr="00DC018A">
        <w:t xml:space="preserve">, Gove D, Diaz-Ponce A, Georges J. </w:t>
      </w:r>
      <w:r>
        <w:t xml:space="preserve">(2020) </w:t>
      </w:r>
      <w:r w:rsidRPr="00DC018A">
        <w:t>Our reflections of Patient and Public Involvement in research as members of the European Working Group of People with Dement</w:t>
      </w:r>
      <w:r>
        <w:t xml:space="preserve">ia. Dementia (London). </w:t>
      </w:r>
      <w:r w:rsidRPr="00DC018A">
        <w:t xml:space="preserve">19(1):10-17. </w:t>
      </w:r>
      <w:hyperlink r:id="rId43" w:history="1">
        <w:r w:rsidRPr="00A9029A">
          <w:rPr>
            <w:rStyle w:val="Hyperlink"/>
          </w:rPr>
          <w:t>https://doi.org/10.1177/1471301219876402</w:t>
        </w:r>
      </w:hyperlink>
      <w:r>
        <w:t xml:space="preserve"> </w:t>
      </w:r>
    </w:p>
    <w:p w14:paraId="45BA82E8" w14:textId="77777777" w:rsidR="002544F9" w:rsidRDefault="002544F9" w:rsidP="00083129">
      <w:pPr>
        <w:spacing w:before="120" w:after="120"/>
      </w:pPr>
      <w:r>
        <w:t xml:space="preserve">Scottish Dementia Working Group Research Sub-Group, UK. Core principles for involving people with dementia in research: innovative practice. (2014) Dementia (London). 13(5):680-5. </w:t>
      </w:r>
      <w:hyperlink r:id="rId44" w:history="1">
        <w:r w:rsidRPr="00A9029A">
          <w:rPr>
            <w:rStyle w:val="Hyperlink"/>
          </w:rPr>
          <w:t>https://doi.org/10.1177/1471301214533255</w:t>
        </w:r>
      </w:hyperlink>
      <w:r>
        <w:t xml:space="preserve"> </w:t>
      </w:r>
    </w:p>
    <w:p w14:paraId="1F3CE3BD" w14:textId="77777777" w:rsidR="002544F9" w:rsidRDefault="002544F9" w:rsidP="00083129">
      <w:pPr>
        <w:spacing w:before="120" w:after="120"/>
      </w:pPr>
      <w:r>
        <w:t xml:space="preserve">Span M, Hettinga M, Groen-van de Ven L, Jukema J, Janssen R, Vernooij-Dassen M, Eefsting J, Smits C. Involving people with dementia in developing an interactive web tool for shared decision-making: experiences with a participatory design approach. Disabil Rehabil. 2018 Jun;40(12):1410-1420. </w:t>
      </w:r>
      <w:hyperlink r:id="rId45" w:history="1">
        <w:r w:rsidRPr="007803CC">
          <w:rPr>
            <w:rStyle w:val="Hyperlink"/>
          </w:rPr>
          <w:t>https://doi.org/10.1080/09638288.2017.1298162</w:t>
        </w:r>
      </w:hyperlink>
    </w:p>
    <w:p w14:paraId="7DF97AE2" w14:textId="77777777" w:rsidR="002544F9" w:rsidRDefault="002544F9" w:rsidP="00083129">
      <w:pPr>
        <w:spacing w:before="120" w:after="120"/>
      </w:pPr>
      <w:r>
        <w:t xml:space="preserve">Swaffer K. Co-production and engagement of people with dementia: The issue of ethics and creative or intellectual copyright. Dementia (London). 2016 Nov;15(6):1319-1325. </w:t>
      </w:r>
      <w:hyperlink r:id="rId46" w:history="1">
        <w:r w:rsidRPr="007803CC">
          <w:rPr>
            <w:rStyle w:val="Hyperlink"/>
          </w:rPr>
          <w:t>https://doi.org/10.1177/1471301216659213</w:t>
        </w:r>
      </w:hyperlink>
      <w:r>
        <w:t xml:space="preserve"> </w:t>
      </w:r>
    </w:p>
    <w:p w14:paraId="66EC3D44" w14:textId="77777777" w:rsidR="002544F9" w:rsidRDefault="002544F9" w:rsidP="00083129">
      <w:pPr>
        <w:spacing w:before="120" w:after="120"/>
      </w:pPr>
      <w:r>
        <w:t xml:space="preserve">Swarbrick CM, Open Doors, Scottish Dementia Working Group, Educate, Davis K, Keady J. Visioning change: Co-producing a model of involvement and engagement in research (Innovative Practice). Dementia (London). 2019 Oct-Nov;18(7-8):3165-3172. </w:t>
      </w:r>
      <w:hyperlink r:id="rId47" w:history="1">
        <w:r w:rsidRPr="007803CC">
          <w:rPr>
            <w:rStyle w:val="Hyperlink"/>
          </w:rPr>
          <w:t>https://doi.org/10.1177/1471301216674559</w:t>
        </w:r>
      </w:hyperlink>
      <w:r>
        <w:t xml:space="preserve"> </w:t>
      </w:r>
    </w:p>
    <w:p w14:paraId="7AFE02FA" w14:textId="1A634181" w:rsidR="00A55CE6" w:rsidRDefault="002544F9" w:rsidP="00083129">
      <w:pPr>
        <w:spacing w:before="120" w:after="120"/>
      </w:pPr>
      <w:r w:rsidRPr="00355C74">
        <w:lastRenderedPageBreak/>
        <w:t xml:space="preserve">Waite J, Poland F, Charlesworth G. Facilitators and barriers to co-research by people with dementia and academic researchers: Findings from a qualitative study. </w:t>
      </w:r>
      <w:r>
        <w:t xml:space="preserve">(2019) Health Expect. </w:t>
      </w:r>
      <w:r w:rsidRPr="00355C74">
        <w:t xml:space="preserve">22(4):761-771. </w:t>
      </w:r>
      <w:hyperlink r:id="rId48" w:history="1">
        <w:r w:rsidRPr="00A9029A">
          <w:rPr>
            <w:rStyle w:val="Hyperlink"/>
          </w:rPr>
          <w:t>https://doi.org/10.1111/hex.12891</w:t>
        </w:r>
      </w:hyperlink>
      <w:r>
        <w:t xml:space="preserve"> </w:t>
      </w:r>
    </w:p>
    <w:p w14:paraId="39AA3223" w14:textId="2FC82A80" w:rsidR="006F2504" w:rsidRDefault="006F2504" w:rsidP="00083129">
      <w:pPr>
        <w:spacing w:before="120" w:after="120"/>
      </w:pPr>
      <w:r>
        <w:t xml:space="preserve">Young A, Ferguson-Coleman E, Keady J. (2018) Authentic public and patient involvement with Deaf sign language users: It is not just about language access. Dementia (London). 17(8):1001-1010. </w:t>
      </w:r>
      <w:hyperlink r:id="rId49" w:history="1">
        <w:r w:rsidRPr="0016392D">
          <w:rPr>
            <w:rStyle w:val="Hyperlink"/>
          </w:rPr>
          <w:t>https://doi.org/10.1177/1471301218789567</w:t>
        </w:r>
      </w:hyperlink>
      <w:r>
        <w:t xml:space="preserve"> </w:t>
      </w:r>
    </w:p>
    <w:p w14:paraId="2B13F512" w14:textId="6531B5E7" w:rsidR="00A55CE6" w:rsidRPr="00CC116E" w:rsidRDefault="00F56839" w:rsidP="00CC116E">
      <w:pPr>
        <w:pStyle w:val="Heading2"/>
        <w:numPr>
          <w:ilvl w:val="0"/>
          <w:numId w:val="6"/>
        </w:numPr>
        <w:spacing w:before="360"/>
        <w:rPr>
          <w:b/>
        </w:rPr>
      </w:pPr>
      <w:r w:rsidRPr="00CC116E">
        <w:rPr>
          <w:b/>
        </w:rPr>
        <w:t>Patient e</w:t>
      </w:r>
      <w:r w:rsidR="00A55CE6" w:rsidRPr="00CC116E">
        <w:rPr>
          <w:b/>
        </w:rPr>
        <w:t>ngagement - general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15"/>
        <w:gridCol w:w="6435"/>
      </w:tblGrid>
      <w:tr w:rsidR="00A55CE6" w:rsidRPr="00501378" w14:paraId="3DF43850" w14:textId="77777777" w:rsidTr="00A719B8">
        <w:tc>
          <w:tcPr>
            <w:tcW w:w="2915" w:type="dxa"/>
          </w:tcPr>
          <w:p w14:paraId="5BFFD5D9" w14:textId="77777777" w:rsidR="00A55CE6" w:rsidRPr="001C5027" w:rsidRDefault="00A55CE6" w:rsidP="00A719B8">
            <w:pPr>
              <w:spacing w:before="60" w:after="60"/>
            </w:pPr>
            <w:r>
              <w:t>Canadian Institutes of Health Research (CIHR)</w:t>
            </w:r>
          </w:p>
        </w:tc>
        <w:tc>
          <w:tcPr>
            <w:tcW w:w="6435" w:type="dxa"/>
          </w:tcPr>
          <w:p w14:paraId="00BBC153" w14:textId="77777777" w:rsidR="00A55CE6" w:rsidRDefault="00D24CB8" w:rsidP="00A719B8">
            <w:pPr>
              <w:spacing w:before="60" w:after="60"/>
            </w:pPr>
            <w:hyperlink r:id="rId50" w:history="1">
              <w:r w:rsidR="00A55CE6" w:rsidRPr="009A5C40">
                <w:rPr>
                  <w:rStyle w:val="Hyperlink"/>
                </w:rPr>
                <w:t>SPOR Patient engagement framework</w:t>
              </w:r>
            </w:hyperlink>
          </w:p>
        </w:tc>
      </w:tr>
      <w:tr w:rsidR="00B445FC" w:rsidRPr="00501378" w14:paraId="3FF11485" w14:textId="77777777" w:rsidTr="00A719B8">
        <w:tc>
          <w:tcPr>
            <w:tcW w:w="2915" w:type="dxa"/>
          </w:tcPr>
          <w:p w14:paraId="2E3C4E6B" w14:textId="76163E89" w:rsidR="00B445FC" w:rsidRDefault="00B445FC" w:rsidP="00A719B8">
            <w:pPr>
              <w:spacing w:before="60" w:after="60"/>
            </w:pPr>
            <w:r>
              <w:t>Canadian Institutes of Health Research (CIHR)</w:t>
            </w:r>
          </w:p>
        </w:tc>
        <w:tc>
          <w:tcPr>
            <w:tcW w:w="6435" w:type="dxa"/>
          </w:tcPr>
          <w:p w14:paraId="5A99236E" w14:textId="004C47E8" w:rsidR="00B445FC" w:rsidRDefault="00D24CB8" w:rsidP="00A719B8">
            <w:pPr>
              <w:spacing w:before="60" w:after="60"/>
            </w:pPr>
            <w:hyperlink r:id="rId51" w:history="1">
              <w:r w:rsidR="00B445FC" w:rsidRPr="00B445FC">
                <w:rPr>
                  <w:rStyle w:val="Hyperlink"/>
                </w:rPr>
                <w:t>Guide to Researcher and Knowledge-User Collaboration in Health Research</w:t>
              </w:r>
            </w:hyperlink>
            <w:r w:rsidR="00B445FC">
              <w:t xml:space="preserve"> </w:t>
            </w:r>
          </w:p>
        </w:tc>
      </w:tr>
      <w:tr w:rsidR="00F02E0F" w:rsidRPr="00501378" w14:paraId="6483B686" w14:textId="77777777" w:rsidTr="00A719B8">
        <w:tc>
          <w:tcPr>
            <w:tcW w:w="2915" w:type="dxa"/>
          </w:tcPr>
          <w:p w14:paraId="5EEDB12B" w14:textId="2B83304D" w:rsidR="00F02E0F" w:rsidRDefault="00F02E0F" w:rsidP="00A719B8">
            <w:pPr>
              <w:spacing w:before="60" w:after="60"/>
            </w:pPr>
            <w:r>
              <w:t>Canadian Institutes of Health Research (CIHR)</w:t>
            </w:r>
          </w:p>
        </w:tc>
        <w:tc>
          <w:tcPr>
            <w:tcW w:w="6435" w:type="dxa"/>
          </w:tcPr>
          <w:p w14:paraId="5FB2AC2A" w14:textId="4132D418" w:rsidR="00F02E0F" w:rsidRDefault="00D24CB8" w:rsidP="00A719B8">
            <w:pPr>
              <w:spacing w:before="60" w:after="60"/>
            </w:pPr>
            <w:hyperlink r:id="rId52" w:history="1">
              <w:r w:rsidR="00F02E0F" w:rsidRPr="00F02E0F">
                <w:rPr>
                  <w:rStyle w:val="Hyperlink"/>
                </w:rPr>
                <w:t>Patient Engagement in Research Resources</w:t>
              </w:r>
            </w:hyperlink>
          </w:p>
        </w:tc>
      </w:tr>
      <w:tr w:rsidR="00F81DA4" w:rsidRPr="00501378" w14:paraId="0D48D4F8" w14:textId="77777777" w:rsidTr="00A719B8">
        <w:tc>
          <w:tcPr>
            <w:tcW w:w="2915" w:type="dxa"/>
          </w:tcPr>
          <w:p w14:paraId="6EA5F7F5" w14:textId="77777777" w:rsidR="00F81DA4" w:rsidRDefault="00F81DA4" w:rsidP="00A719B8">
            <w:pPr>
              <w:spacing w:before="60" w:after="60"/>
            </w:pPr>
            <w:r>
              <w:t>Centre of Excellence on Partnership with Patients and the Public</w:t>
            </w:r>
          </w:p>
        </w:tc>
        <w:tc>
          <w:tcPr>
            <w:tcW w:w="6435" w:type="dxa"/>
          </w:tcPr>
          <w:p w14:paraId="4AF10DBD" w14:textId="77777777" w:rsidR="00F81DA4" w:rsidRDefault="00D24CB8" w:rsidP="00A719B8">
            <w:pPr>
              <w:spacing w:before="60" w:after="60"/>
              <w:rPr>
                <w:rStyle w:val="Hyperlink"/>
              </w:rPr>
            </w:pPr>
            <w:hyperlink r:id="rId53" w:history="1">
              <w:r w:rsidR="00F81DA4" w:rsidRPr="00CC116E">
                <w:rPr>
                  <w:rStyle w:val="Hyperlink"/>
                </w:rPr>
                <w:t>Patient and public engagement. Evaluation Toolkit.</w:t>
              </w:r>
            </w:hyperlink>
          </w:p>
          <w:p w14:paraId="70266DA2" w14:textId="459BA23D" w:rsidR="00B53AFC" w:rsidRDefault="00B53AFC" w:rsidP="00A719B8">
            <w:pPr>
              <w:spacing w:before="60" w:after="60"/>
            </w:pPr>
            <w:r>
              <w:t>Register for</w:t>
            </w:r>
            <w:hyperlink r:id="rId54" w:history="1">
              <w:r w:rsidRPr="00B53AFC">
                <w:rPr>
                  <w:rStyle w:val="Hyperlink"/>
                </w:rPr>
                <w:t xml:space="preserve"> monthly evidence feed</w:t>
              </w:r>
            </w:hyperlink>
          </w:p>
        </w:tc>
      </w:tr>
      <w:tr w:rsidR="00A55CE6" w:rsidRPr="00501378" w14:paraId="11A8119B" w14:textId="77777777" w:rsidTr="00A719B8">
        <w:tc>
          <w:tcPr>
            <w:tcW w:w="2915" w:type="dxa"/>
          </w:tcPr>
          <w:p w14:paraId="3DD5A674" w14:textId="77777777" w:rsidR="00A55CE6" w:rsidRDefault="00A55CE6" w:rsidP="00A719B8">
            <w:pPr>
              <w:spacing w:before="60" w:after="60"/>
            </w:pPr>
            <w:r w:rsidRPr="00696245">
              <w:t>George &amp; Fay Yee Centre for Healthcare Innovation (CHI)</w:t>
            </w:r>
          </w:p>
        </w:tc>
        <w:tc>
          <w:tcPr>
            <w:tcW w:w="6435" w:type="dxa"/>
          </w:tcPr>
          <w:p w14:paraId="485F78BF" w14:textId="77777777" w:rsidR="00A55CE6" w:rsidRDefault="00D24CB8" w:rsidP="00A719B8">
            <w:pPr>
              <w:spacing w:before="60" w:after="60"/>
            </w:pPr>
            <w:hyperlink r:id="rId55" w:history="1">
              <w:r w:rsidR="00A55CE6" w:rsidRPr="00567638">
                <w:rPr>
                  <w:rStyle w:val="Hyperlink"/>
                </w:rPr>
                <w:t>Engagement methods</w:t>
              </w:r>
            </w:hyperlink>
            <w:r w:rsidR="00A55CE6">
              <w:t xml:space="preserve"> (interactive map tool)</w:t>
            </w:r>
          </w:p>
        </w:tc>
      </w:tr>
      <w:tr w:rsidR="00A55CE6" w:rsidRPr="00501378" w14:paraId="773672E5" w14:textId="77777777" w:rsidTr="00A719B8">
        <w:tc>
          <w:tcPr>
            <w:tcW w:w="2915" w:type="dxa"/>
          </w:tcPr>
          <w:p w14:paraId="77B80F18" w14:textId="77777777" w:rsidR="00A55CE6" w:rsidRDefault="00A55CE6" w:rsidP="00A719B8">
            <w:pPr>
              <w:spacing w:before="60" w:after="60"/>
            </w:pPr>
            <w:r>
              <w:t>NIHR|INVOLVE</w:t>
            </w:r>
          </w:p>
        </w:tc>
        <w:tc>
          <w:tcPr>
            <w:tcW w:w="6435" w:type="dxa"/>
          </w:tcPr>
          <w:p w14:paraId="6B27F6DD" w14:textId="77777777" w:rsidR="00A55CE6" w:rsidRDefault="00D24CB8" w:rsidP="00A719B8">
            <w:pPr>
              <w:spacing w:before="60" w:after="60"/>
            </w:pPr>
            <w:hyperlink r:id="rId56" w:history="1">
              <w:r w:rsidR="00A55CE6" w:rsidRPr="00D03428">
                <w:rPr>
                  <w:rStyle w:val="Hyperlink"/>
                </w:rPr>
                <w:t>Briefing notes for researchers: public involvement in NHS, public health and social care research</w:t>
              </w:r>
            </w:hyperlink>
          </w:p>
        </w:tc>
      </w:tr>
      <w:tr w:rsidR="00A55CE6" w:rsidRPr="00501378" w14:paraId="317DF14E" w14:textId="77777777" w:rsidTr="00A719B8">
        <w:tc>
          <w:tcPr>
            <w:tcW w:w="2915" w:type="dxa"/>
          </w:tcPr>
          <w:p w14:paraId="7EE2A9B5" w14:textId="77777777" w:rsidR="00A55CE6" w:rsidRDefault="00A55CE6" w:rsidP="00A719B8">
            <w:pPr>
              <w:spacing w:before="60" w:after="60"/>
            </w:pPr>
            <w:r>
              <w:t>NIHR|INVOLVE</w:t>
            </w:r>
          </w:p>
        </w:tc>
        <w:tc>
          <w:tcPr>
            <w:tcW w:w="6435" w:type="dxa"/>
          </w:tcPr>
          <w:p w14:paraId="589581F5" w14:textId="77777777" w:rsidR="00A55CE6" w:rsidRDefault="00D24CB8" w:rsidP="00A719B8">
            <w:pPr>
              <w:spacing w:before="60" w:after="60"/>
            </w:pPr>
            <w:hyperlink r:id="rId57" w:history="1">
              <w:r w:rsidR="00A55CE6" w:rsidRPr="00D823B9">
                <w:rPr>
                  <w:rStyle w:val="Hyperlink"/>
                </w:rPr>
                <w:t>Supplements:</w:t>
              </w:r>
            </w:hyperlink>
            <w:r w:rsidR="00A55CE6">
              <w:t xml:space="preserve"> </w:t>
            </w:r>
          </w:p>
          <w:p w14:paraId="7AA781EC" w14:textId="77777777" w:rsidR="00A55CE6" w:rsidRDefault="00A55CE6" w:rsidP="00A719B8">
            <w:pPr>
              <w:pStyle w:val="ListParagraph"/>
              <w:numPr>
                <w:ilvl w:val="0"/>
                <w:numId w:val="2"/>
              </w:numPr>
              <w:spacing w:before="60" w:after="60"/>
            </w:pPr>
            <w:r>
              <w:t>Public involvement in systematic reviews</w:t>
            </w:r>
          </w:p>
          <w:p w14:paraId="0730267C" w14:textId="77777777" w:rsidR="00A55CE6" w:rsidRDefault="00A55CE6" w:rsidP="00A719B8">
            <w:pPr>
              <w:pStyle w:val="ListParagraph"/>
              <w:numPr>
                <w:ilvl w:val="0"/>
                <w:numId w:val="2"/>
              </w:numPr>
              <w:spacing w:before="60" w:after="60"/>
            </w:pPr>
            <w:r>
              <w:t>Strategies for diversity and inclusion in public involvement</w:t>
            </w:r>
          </w:p>
          <w:p w14:paraId="5D411E50" w14:textId="77777777" w:rsidR="00A55CE6" w:rsidRDefault="00A55CE6" w:rsidP="00A719B8">
            <w:pPr>
              <w:pStyle w:val="ListParagraph"/>
              <w:numPr>
                <w:ilvl w:val="0"/>
                <w:numId w:val="2"/>
              </w:numPr>
              <w:spacing w:before="60" w:after="60"/>
            </w:pPr>
            <w:r>
              <w:t>Public involvement in clinical trials</w:t>
            </w:r>
          </w:p>
          <w:p w14:paraId="2634D6E7" w14:textId="77777777" w:rsidR="00A55CE6" w:rsidRDefault="00D24CB8" w:rsidP="00A719B8">
            <w:pPr>
              <w:spacing w:before="60" w:after="60"/>
            </w:pPr>
            <w:hyperlink r:id="rId58" w:history="1">
              <w:r w:rsidR="00A55CE6" w:rsidRPr="00D823B9">
                <w:rPr>
                  <w:rStyle w:val="Hyperlink"/>
                </w:rPr>
                <w:t>Case studies</w:t>
              </w:r>
            </w:hyperlink>
          </w:p>
          <w:p w14:paraId="54252EB6" w14:textId="77777777" w:rsidR="00A55CE6" w:rsidRDefault="00D24CB8" w:rsidP="00A719B8">
            <w:pPr>
              <w:spacing w:before="60" w:after="60"/>
            </w:pPr>
            <w:hyperlink r:id="rId59" w:history="1">
              <w:r w:rsidR="00A55CE6" w:rsidRPr="00D823B9">
                <w:rPr>
                  <w:rStyle w:val="Hyperlink"/>
                </w:rPr>
                <w:t>Templates</w:t>
              </w:r>
            </w:hyperlink>
          </w:p>
        </w:tc>
      </w:tr>
      <w:tr w:rsidR="00A55CE6" w:rsidRPr="00501378" w14:paraId="42CFA2C3" w14:textId="77777777" w:rsidTr="00A719B8">
        <w:tc>
          <w:tcPr>
            <w:tcW w:w="2915" w:type="dxa"/>
          </w:tcPr>
          <w:p w14:paraId="7B22E295" w14:textId="77777777" w:rsidR="00A55CE6" w:rsidRDefault="00A55CE6" w:rsidP="00A719B8">
            <w:pPr>
              <w:spacing w:before="60" w:after="60"/>
            </w:pPr>
            <w:r>
              <w:t>SPOR Support Units (includes links to provinces)</w:t>
            </w:r>
          </w:p>
        </w:tc>
        <w:tc>
          <w:tcPr>
            <w:tcW w:w="6435" w:type="dxa"/>
          </w:tcPr>
          <w:p w14:paraId="045B6F76" w14:textId="77777777" w:rsidR="00A55CE6" w:rsidRDefault="00D24CB8" w:rsidP="00A719B8">
            <w:pPr>
              <w:spacing w:before="60" w:after="60"/>
            </w:pPr>
            <w:hyperlink r:id="rId60" w:history="1">
              <w:r w:rsidR="00A55CE6" w:rsidRPr="00A9029A">
                <w:rPr>
                  <w:rStyle w:val="Hyperlink"/>
                </w:rPr>
                <w:t>https://cihr-irsc.gc.ca/e/45859.html</w:t>
              </w:r>
            </w:hyperlink>
            <w:r w:rsidR="00A55CE6">
              <w:t xml:space="preserve"> </w:t>
            </w:r>
          </w:p>
        </w:tc>
      </w:tr>
    </w:tbl>
    <w:p w14:paraId="413675EB" w14:textId="77777777" w:rsidR="00F81DA4" w:rsidRDefault="00F81DA4" w:rsidP="002544F9">
      <w:pPr>
        <w:pStyle w:val="Heading3"/>
      </w:pPr>
    </w:p>
    <w:p w14:paraId="0EC26E87" w14:textId="3E1EDDF9" w:rsidR="002544F9" w:rsidRDefault="002544F9" w:rsidP="002544F9">
      <w:pPr>
        <w:pStyle w:val="Heading3"/>
      </w:pPr>
      <w:r>
        <w:t xml:space="preserve">Journal </w:t>
      </w:r>
      <w:r w:rsidRPr="00501378">
        <w:t>articles</w:t>
      </w:r>
      <w:r>
        <w:t xml:space="preserve"> </w:t>
      </w:r>
    </w:p>
    <w:p w14:paraId="3E16E299" w14:textId="06D71C2C" w:rsidR="00881FA1" w:rsidRDefault="00881FA1" w:rsidP="00083129">
      <w:pPr>
        <w:spacing w:before="120" w:after="120"/>
      </w:pPr>
      <w:r>
        <w:t xml:space="preserve">Backhouse T, Kenkmann A, Lane K, Penhale B, Poland F, Killett A. (2016) Older care-home residents as collaborators or advisors in research: a systematic review. Age Ageing. 2016 May;45(3):337-45. </w:t>
      </w:r>
      <w:hyperlink r:id="rId61" w:history="1">
        <w:r w:rsidRPr="0016392D">
          <w:rPr>
            <w:rStyle w:val="Hyperlink"/>
          </w:rPr>
          <w:t>https://doi.org/10.1093/ageing/afv201</w:t>
        </w:r>
      </w:hyperlink>
      <w:r>
        <w:t xml:space="preserve"> </w:t>
      </w:r>
    </w:p>
    <w:p w14:paraId="0269973A" w14:textId="7C07460A" w:rsidR="00FC6157" w:rsidRDefault="00FC6157" w:rsidP="00083129">
      <w:pPr>
        <w:spacing w:before="120" w:after="120"/>
      </w:pPr>
      <w:r w:rsidRPr="00FC6157">
        <w:t xml:space="preserve">Bird, M., Ouellette, C., Whitmore, C., Li, L., Nair, K., McGillion, M.H., Yost, J., Banfield, L., Campbell, E., Carroll, S.L. </w:t>
      </w:r>
      <w:r>
        <w:t>(</w:t>
      </w:r>
      <w:r w:rsidRPr="00FC6157">
        <w:t>2020</w:t>
      </w:r>
      <w:r>
        <w:t>)</w:t>
      </w:r>
      <w:r w:rsidRPr="00FC6157">
        <w:t xml:space="preserve">. Preparing for patient partnership: A scoping review of patient partner engagement and evaluation in research. Health Expect. </w:t>
      </w:r>
      <w:hyperlink r:id="rId62" w:history="1">
        <w:r w:rsidRPr="0016392D">
          <w:rPr>
            <w:rStyle w:val="Hyperlink"/>
          </w:rPr>
          <w:t>https://doi.org/10.1111/hex.13040</w:t>
        </w:r>
      </w:hyperlink>
      <w:r>
        <w:t xml:space="preserve"> </w:t>
      </w:r>
    </w:p>
    <w:p w14:paraId="1E526F92" w14:textId="6BCF5B96" w:rsidR="0027460F" w:rsidRDefault="0027460F" w:rsidP="00083129">
      <w:pPr>
        <w:spacing w:before="120" w:after="120"/>
      </w:pPr>
      <w:r w:rsidRPr="0027460F">
        <w:lastRenderedPageBreak/>
        <w:t xml:space="preserve">Bombard, Y., Baker, G. R., Orlando, E., Fancott, C., Bhatia, P., Casalino, S., Onate, K., Denis, J. L., &amp; Pomey, M. P. (2018). Engaging patients to improve quality of care: a systematic review. Implementation science : IS, 13(1), 98. </w:t>
      </w:r>
      <w:hyperlink r:id="rId63" w:history="1">
        <w:r w:rsidRPr="0016392D">
          <w:rPr>
            <w:rStyle w:val="Hyperlink"/>
          </w:rPr>
          <w:t>https://doi.org/10.1186/s13012-018-0784-z</w:t>
        </w:r>
      </w:hyperlink>
      <w:r>
        <w:t xml:space="preserve"> </w:t>
      </w:r>
    </w:p>
    <w:p w14:paraId="5416DD53" w14:textId="0374439C" w:rsidR="002544F9" w:rsidRDefault="002544F9" w:rsidP="00083129">
      <w:pPr>
        <w:spacing w:before="120" w:after="120"/>
      </w:pPr>
      <w:r>
        <w:t xml:space="preserve">Boivin A, L'Espérance A, Gauvin FP, Dumez V, Macaulay AC, Lehoux P, Abelson J. Patient and public engagement in research and health system decision making: A systematic review of evaluation tools. Health Expect. 2018 Dec;21(6):1075-1084. </w:t>
      </w:r>
      <w:hyperlink r:id="rId64" w:history="1">
        <w:r w:rsidRPr="00A9029A">
          <w:rPr>
            <w:rStyle w:val="Hyperlink"/>
          </w:rPr>
          <w:t>https://doi.org/10.1111/hex.12804</w:t>
        </w:r>
      </w:hyperlink>
      <w:r>
        <w:t xml:space="preserve"> </w:t>
      </w:r>
    </w:p>
    <w:p w14:paraId="73CFCD50" w14:textId="295AF037" w:rsidR="00CC116E" w:rsidRDefault="00CC116E" w:rsidP="00083129">
      <w:pPr>
        <w:spacing w:before="120" w:after="120"/>
      </w:pPr>
      <w:r w:rsidRPr="00CC116E">
        <w:t xml:space="preserve">Bonevski, B., Randell, M., Paul, C., Chapman, K., Twyman, L., Bryant, J., Brozek, I., &amp; Hughes, C. (2014). Reaching the hard-to-reach: a systematic review of strategies for improving health and medical research with socially disadvantaged groups. BMC medical research methodology, 14, 42. </w:t>
      </w:r>
      <w:hyperlink r:id="rId65" w:history="1">
        <w:r w:rsidRPr="007803CC">
          <w:rPr>
            <w:rStyle w:val="Hyperlink"/>
          </w:rPr>
          <w:t>https://doi.org/10.1186/1471-2288-14-42</w:t>
        </w:r>
      </w:hyperlink>
      <w:r>
        <w:t xml:space="preserve"> </w:t>
      </w:r>
    </w:p>
    <w:p w14:paraId="6B274145" w14:textId="1875A1E0" w:rsidR="00A55CE6" w:rsidRDefault="002544F9" w:rsidP="00083129">
      <w:pPr>
        <w:spacing w:before="120" w:after="120"/>
        <w:rPr>
          <w:b/>
        </w:rPr>
      </w:pPr>
      <w:r>
        <w:t xml:space="preserve">Crocker JC, Ricci-Cabello I, Parker A, Hirst JA, Chant A, Petit-Zeman S, Evans D, Rees S. Impact of patient and public involvement on enrolment and retention in clinical trials: systematic review and meta-analysis. (2018) BMJ. 363:k4738. </w:t>
      </w:r>
      <w:hyperlink r:id="rId66" w:history="1">
        <w:r w:rsidRPr="00A9029A">
          <w:rPr>
            <w:rStyle w:val="Hyperlink"/>
          </w:rPr>
          <w:t>https://doi.org/10.1136/bmj.k4738</w:t>
        </w:r>
      </w:hyperlink>
    </w:p>
    <w:p w14:paraId="1A8E57B2" w14:textId="289E244E" w:rsidR="00881FA1" w:rsidRDefault="00881FA1" w:rsidP="00083129">
      <w:pPr>
        <w:spacing w:before="120" w:after="120"/>
      </w:pPr>
      <w:r w:rsidRPr="00881FA1">
        <w:t xml:space="preserve">Gordon, J., Franklin, S. &amp; Eltringham, S.A. </w:t>
      </w:r>
      <w:r>
        <w:t xml:space="preserve">(2018) </w:t>
      </w:r>
      <w:r w:rsidRPr="00881FA1">
        <w:t xml:space="preserve">Service user reflections on the impact of involvement in research. Res Involv Engagem 4, 11. </w:t>
      </w:r>
      <w:hyperlink r:id="rId67" w:history="1">
        <w:r w:rsidRPr="0016392D">
          <w:rPr>
            <w:rStyle w:val="Hyperlink"/>
          </w:rPr>
          <w:t>https://doi.org/10.1186/s40900-018-0095-1</w:t>
        </w:r>
      </w:hyperlink>
      <w:r>
        <w:t xml:space="preserve"> </w:t>
      </w:r>
    </w:p>
    <w:p w14:paraId="05627C47" w14:textId="0B2B6355" w:rsidR="002544F9" w:rsidRDefault="002544F9" w:rsidP="00083129">
      <w:pPr>
        <w:spacing w:before="120" w:after="120"/>
      </w:pPr>
      <w:r w:rsidRPr="00355C74">
        <w:t xml:space="preserve">Greenhalgh T, Hinton L, Finlay T, Macfarlane A, Fahy N, Clyde B, Chant A. Frameworks for supporting patient and public involvement in research: Systematic review and co-design pilot. </w:t>
      </w:r>
      <w:r>
        <w:t xml:space="preserve">(2019) </w:t>
      </w:r>
      <w:r w:rsidRPr="00355C74">
        <w:t>Health Expect.</w:t>
      </w:r>
      <w:r>
        <w:t xml:space="preserve"> </w:t>
      </w:r>
      <w:r w:rsidRPr="00355C74">
        <w:t>22(4):785-801.</w:t>
      </w:r>
      <w:r>
        <w:t xml:space="preserve"> </w:t>
      </w:r>
      <w:hyperlink r:id="rId68" w:history="1">
        <w:r w:rsidRPr="00A9029A">
          <w:rPr>
            <w:rStyle w:val="Hyperlink"/>
          </w:rPr>
          <w:t>https://doi.org/10.1111/hex.12888</w:t>
        </w:r>
      </w:hyperlink>
      <w:r>
        <w:t xml:space="preserve"> </w:t>
      </w:r>
    </w:p>
    <w:p w14:paraId="39EA3AA0" w14:textId="1982800B" w:rsidR="006B16E4" w:rsidRDefault="006B16E4" w:rsidP="00083129">
      <w:pPr>
        <w:spacing w:before="120" w:after="120"/>
      </w:pPr>
      <w:r w:rsidRPr="006B16E4">
        <w:t xml:space="preserve">Howe, A., Mathie, E., Munday, D. et al. </w:t>
      </w:r>
      <w:r>
        <w:t xml:space="preserve">(2017) </w:t>
      </w:r>
      <w:r w:rsidRPr="006B16E4">
        <w:t xml:space="preserve">Learning to work together – lessons from a reflective analysis of a research project on public involvement. Res Involv Engagem 3, 1. </w:t>
      </w:r>
      <w:hyperlink r:id="rId69" w:history="1">
        <w:r w:rsidRPr="0016392D">
          <w:rPr>
            <w:rStyle w:val="Hyperlink"/>
          </w:rPr>
          <w:t>https://doi.org/10.1186/s40900-016-0051-x</w:t>
        </w:r>
      </w:hyperlink>
      <w:r>
        <w:t xml:space="preserve"> </w:t>
      </w:r>
    </w:p>
    <w:p w14:paraId="3229DEEB" w14:textId="543D0854" w:rsidR="000C6E90" w:rsidRDefault="000C6E90" w:rsidP="00083129">
      <w:pPr>
        <w:spacing w:before="120" w:after="120"/>
      </w:pPr>
      <w:r w:rsidRPr="000C6E90">
        <w:t>Leese J, Macdonald G, Kerr S, et al</w:t>
      </w:r>
      <w:r>
        <w:t>. (2018) ’</w:t>
      </w:r>
      <w:r w:rsidRPr="000C6E90">
        <w:t>Adding another spinning plate to an already busy life’. Benefits and risks in patient partner–researcher relationships: a qualitative study of patient partners’ experiences in a Canadian health research setting</w:t>
      </w:r>
      <w:r>
        <w:t xml:space="preserve">. </w:t>
      </w:r>
      <w:r w:rsidRPr="000C6E90">
        <w:t>BMJ Open</w:t>
      </w:r>
      <w:r>
        <w:t xml:space="preserve">. </w:t>
      </w:r>
      <w:r w:rsidRPr="000C6E90">
        <w:t xml:space="preserve">8:e022154. </w:t>
      </w:r>
      <w:hyperlink r:id="rId70" w:history="1">
        <w:r w:rsidRPr="0016392D">
          <w:rPr>
            <w:rStyle w:val="Hyperlink"/>
          </w:rPr>
          <w:t>https://doi.org/10.1136/bmjopen-2018-022154</w:t>
        </w:r>
      </w:hyperlink>
      <w:r>
        <w:t xml:space="preserve"> </w:t>
      </w:r>
    </w:p>
    <w:p w14:paraId="3E661102" w14:textId="62715DD7" w:rsidR="00CC116E" w:rsidRPr="00355C74" w:rsidRDefault="00CC116E" w:rsidP="00083129">
      <w:pPr>
        <w:spacing w:before="120" w:after="120"/>
      </w:pPr>
      <w:r w:rsidRPr="00CC116E">
        <w:t>Staniszewska S, Brett J, Simera I, Seers K, Mockford C, Goodlad S et al. GRIPP2 reporting checklists: tools to improve reporting of patient and public involvement in research BMJ 2017; 358 :j3453</w:t>
      </w:r>
      <w:r>
        <w:t xml:space="preserve"> </w:t>
      </w:r>
      <w:hyperlink r:id="rId71" w:history="1">
        <w:r w:rsidRPr="007803CC">
          <w:rPr>
            <w:rStyle w:val="Hyperlink"/>
          </w:rPr>
          <w:t>https://doi.org/10.1136/bmj.j3453</w:t>
        </w:r>
      </w:hyperlink>
      <w:r>
        <w:t xml:space="preserve"> </w:t>
      </w:r>
    </w:p>
    <w:p w14:paraId="11C9B692" w14:textId="5A967D40" w:rsidR="002544F9" w:rsidRPr="00CC116E" w:rsidRDefault="002544F9" w:rsidP="00CC116E">
      <w:pPr>
        <w:pStyle w:val="Heading2"/>
        <w:numPr>
          <w:ilvl w:val="0"/>
          <w:numId w:val="6"/>
        </w:numPr>
        <w:spacing w:before="360"/>
        <w:rPr>
          <w:b/>
        </w:rPr>
      </w:pPr>
      <w:r w:rsidRPr="00CC116E">
        <w:rPr>
          <w:b/>
        </w:rPr>
        <w:t xml:space="preserve">Patient engagement – </w:t>
      </w:r>
      <w:r w:rsidR="00F56839" w:rsidRPr="00CC116E">
        <w:rPr>
          <w:b/>
        </w:rPr>
        <w:t>a</w:t>
      </w:r>
      <w:r w:rsidRPr="00CC116E">
        <w:rPr>
          <w:b/>
        </w:rPr>
        <w:t xml:space="preserve">pproaches to compensation and reimbursement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19"/>
        <w:gridCol w:w="6441"/>
      </w:tblGrid>
      <w:tr w:rsidR="002544F9" w:rsidRPr="00501378" w14:paraId="4A106830" w14:textId="77777777" w:rsidTr="00A719B8">
        <w:tc>
          <w:tcPr>
            <w:tcW w:w="2943" w:type="dxa"/>
          </w:tcPr>
          <w:p w14:paraId="026DB2BE" w14:textId="77777777" w:rsidR="002544F9" w:rsidRDefault="002544F9" w:rsidP="00A719B8">
            <w:pPr>
              <w:spacing w:before="60" w:after="60"/>
            </w:pPr>
            <w:r>
              <w:t>Canadian Institutes of Health Research (CIHR)</w:t>
            </w:r>
          </w:p>
        </w:tc>
        <w:tc>
          <w:tcPr>
            <w:tcW w:w="6521" w:type="dxa"/>
          </w:tcPr>
          <w:p w14:paraId="456EE33D" w14:textId="77777777" w:rsidR="002544F9" w:rsidRDefault="00D24CB8" w:rsidP="00A719B8">
            <w:pPr>
              <w:spacing w:before="60" w:after="60"/>
            </w:pPr>
            <w:hyperlink r:id="rId72" w:history="1">
              <w:r w:rsidR="002544F9" w:rsidRPr="009A5C40">
                <w:rPr>
                  <w:rStyle w:val="Hyperlink"/>
                </w:rPr>
                <w:t>Considerations when paying patient partners in research</w:t>
              </w:r>
            </w:hyperlink>
          </w:p>
        </w:tc>
      </w:tr>
      <w:tr w:rsidR="002544F9" w:rsidRPr="00501378" w14:paraId="1D5EEE70" w14:textId="77777777" w:rsidTr="00A719B8">
        <w:tc>
          <w:tcPr>
            <w:tcW w:w="2943" w:type="dxa"/>
          </w:tcPr>
          <w:p w14:paraId="7279DFC9" w14:textId="77777777" w:rsidR="002544F9" w:rsidRDefault="002544F9" w:rsidP="00A719B8">
            <w:pPr>
              <w:spacing w:before="60" w:after="60"/>
            </w:pPr>
            <w:r>
              <w:t>Change Foundation</w:t>
            </w:r>
          </w:p>
        </w:tc>
        <w:tc>
          <w:tcPr>
            <w:tcW w:w="6521" w:type="dxa"/>
          </w:tcPr>
          <w:p w14:paraId="488B26DE" w14:textId="77777777" w:rsidR="002544F9" w:rsidRDefault="00D24CB8" w:rsidP="00A719B8">
            <w:pPr>
              <w:spacing w:before="60" w:after="60"/>
            </w:pPr>
            <w:hyperlink r:id="rId73" w:history="1">
              <w:r w:rsidR="002544F9" w:rsidRPr="005F62A0">
                <w:rPr>
                  <w:rStyle w:val="Hyperlink"/>
                </w:rPr>
                <w:t>Should money come into it?</w:t>
              </w:r>
            </w:hyperlink>
            <w:r w:rsidR="002544F9">
              <w:t xml:space="preserve"> </w:t>
            </w:r>
          </w:p>
        </w:tc>
      </w:tr>
      <w:tr w:rsidR="00CC116E" w:rsidRPr="00501378" w14:paraId="70920BE9" w14:textId="77777777" w:rsidTr="00A719B8">
        <w:tc>
          <w:tcPr>
            <w:tcW w:w="2943" w:type="dxa"/>
          </w:tcPr>
          <w:p w14:paraId="70E5A666" w14:textId="77777777" w:rsidR="00CC116E" w:rsidRDefault="00CC116E" w:rsidP="00A719B8">
            <w:pPr>
              <w:spacing w:before="60" w:after="60"/>
            </w:pPr>
            <w:r>
              <w:t>NIHR|INVOLVE</w:t>
            </w:r>
          </w:p>
        </w:tc>
        <w:tc>
          <w:tcPr>
            <w:tcW w:w="6521" w:type="dxa"/>
          </w:tcPr>
          <w:p w14:paraId="5C1018BE" w14:textId="64353DAB" w:rsidR="00CC116E" w:rsidRDefault="00D24CB8" w:rsidP="00A719B8">
            <w:pPr>
              <w:spacing w:before="60" w:after="60"/>
            </w:pPr>
            <w:hyperlink r:id="rId74" w:history="1">
              <w:r w:rsidR="00CC116E" w:rsidRPr="00CC116E">
                <w:rPr>
                  <w:rStyle w:val="Hyperlink"/>
                </w:rPr>
                <w:t>Payment and recognition for public involvement</w:t>
              </w:r>
            </w:hyperlink>
          </w:p>
        </w:tc>
      </w:tr>
      <w:tr w:rsidR="002544F9" w:rsidRPr="00501378" w14:paraId="2E90A751" w14:textId="77777777" w:rsidTr="00A719B8">
        <w:tc>
          <w:tcPr>
            <w:tcW w:w="2943" w:type="dxa"/>
          </w:tcPr>
          <w:p w14:paraId="5DEE05B8" w14:textId="77777777" w:rsidR="002544F9" w:rsidRDefault="002544F9" w:rsidP="00A719B8">
            <w:pPr>
              <w:spacing w:before="60" w:after="60"/>
            </w:pPr>
            <w:r>
              <w:t>SPOR Networks in Chronic Disease</w:t>
            </w:r>
          </w:p>
        </w:tc>
        <w:tc>
          <w:tcPr>
            <w:tcW w:w="6521" w:type="dxa"/>
          </w:tcPr>
          <w:p w14:paraId="0F5E452E" w14:textId="77777777" w:rsidR="002544F9" w:rsidRDefault="00D24CB8" w:rsidP="00A719B8">
            <w:pPr>
              <w:spacing w:before="60" w:after="60"/>
            </w:pPr>
            <w:hyperlink r:id="rId75" w:history="1">
              <w:r w:rsidR="002544F9" w:rsidRPr="00086E12">
                <w:rPr>
                  <w:rStyle w:val="Hyperlink"/>
                </w:rPr>
                <w:t>Recommendations on Patient Engagement Compensation</w:t>
              </w:r>
            </w:hyperlink>
          </w:p>
        </w:tc>
      </w:tr>
    </w:tbl>
    <w:p w14:paraId="1A6CFFCF" w14:textId="77777777" w:rsidR="004403C9" w:rsidRPr="004403C9" w:rsidRDefault="004403C9" w:rsidP="004403C9">
      <w:pPr>
        <w:autoSpaceDE w:val="0"/>
        <w:autoSpaceDN w:val="0"/>
        <w:adjustRightInd w:val="0"/>
        <w:spacing w:after="0" w:line="240" w:lineRule="auto"/>
        <w:rPr>
          <w:rFonts w:ascii="AdvTimes" w:hAnsi="AdvTimes" w:cs="AdvTimes"/>
          <w:sz w:val="18"/>
          <w:szCs w:val="18"/>
        </w:rPr>
      </w:pPr>
    </w:p>
    <w:p w14:paraId="5870E7BB" w14:textId="7CB40605" w:rsidR="00120CB1" w:rsidRDefault="00F00835">
      <w:r>
        <w:lastRenderedPageBreak/>
        <w:t>Richards</w:t>
      </w:r>
      <w:r w:rsidR="001F611D">
        <w:t xml:space="preserve"> DP, </w:t>
      </w:r>
      <w:r>
        <w:t>Jordan</w:t>
      </w:r>
      <w:r w:rsidR="001F611D">
        <w:t xml:space="preserve"> I, </w:t>
      </w:r>
      <w:r>
        <w:t>Strain</w:t>
      </w:r>
      <w:r w:rsidR="001F611D">
        <w:t xml:space="preserve"> K, </w:t>
      </w:r>
      <w:r>
        <w:t>Press</w:t>
      </w:r>
      <w:r w:rsidR="001F611D">
        <w:t xml:space="preserve"> Z. </w:t>
      </w:r>
      <w:r>
        <w:t>(2018) Patient partner compensation in research and health care: the patient perspective on why and how</w:t>
      </w:r>
      <w:r w:rsidR="001F611D">
        <w:t>.</w:t>
      </w:r>
      <w:r>
        <w:t xml:space="preserve"> Patient Experience Journal</w:t>
      </w:r>
      <w:r w:rsidR="001F611D">
        <w:t xml:space="preserve">. </w:t>
      </w:r>
      <w:r>
        <w:t>5</w:t>
      </w:r>
      <w:r w:rsidR="001F611D">
        <w:t xml:space="preserve">(2). </w:t>
      </w:r>
      <w:hyperlink r:id="rId76" w:history="1">
        <w:r w:rsidR="001F611D" w:rsidRPr="007803CC">
          <w:rPr>
            <w:rStyle w:val="Hyperlink"/>
          </w:rPr>
          <w:t>https://doi.org/10.35680/2372-0247.1334</w:t>
        </w:r>
      </w:hyperlink>
      <w:r>
        <w:t xml:space="preserve"> </w:t>
      </w:r>
    </w:p>
    <w:sectPr w:rsidR="00120CB1">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BB5A" w14:textId="77777777" w:rsidR="00D24CB8" w:rsidRDefault="00D24CB8" w:rsidP="00954A4B">
      <w:pPr>
        <w:spacing w:after="0" w:line="240" w:lineRule="auto"/>
      </w:pPr>
      <w:r>
        <w:separator/>
      </w:r>
    </w:p>
  </w:endnote>
  <w:endnote w:type="continuationSeparator" w:id="0">
    <w:p w14:paraId="3302136C" w14:textId="77777777" w:rsidR="00D24CB8" w:rsidRDefault="00D24CB8" w:rsidP="0095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vTimes">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94CA" w14:textId="77777777" w:rsidR="000749E9" w:rsidRDefault="0007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5E30" w14:textId="77777777" w:rsidR="000749E9" w:rsidRDefault="00074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AABE" w14:textId="77777777" w:rsidR="000749E9" w:rsidRDefault="0007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1980" w14:textId="77777777" w:rsidR="00D24CB8" w:rsidRDefault="00D24CB8" w:rsidP="00954A4B">
      <w:pPr>
        <w:spacing w:after="0" w:line="240" w:lineRule="auto"/>
      </w:pPr>
      <w:r>
        <w:separator/>
      </w:r>
    </w:p>
  </w:footnote>
  <w:footnote w:type="continuationSeparator" w:id="0">
    <w:p w14:paraId="1403E501" w14:textId="77777777" w:rsidR="00D24CB8" w:rsidRDefault="00D24CB8" w:rsidP="0095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3450" w14:textId="77777777" w:rsidR="000749E9" w:rsidRDefault="00074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FFC1" w14:textId="5E6FDF18" w:rsidR="00954A4B" w:rsidRPr="00954A4B" w:rsidRDefault="003642D9">
    <w:pPr>
      <w:pStyle w:val="Header"/>
      <w:rPr>
        <w:lang w:val="en-CA"/>
      </w:rPr>
    </w:pPr>
    <w:r>
      <w:rPr>
        <w:lang w:val="en-CA"/>
      </w:rPr>
      <w:t>Version d</w:t>
    </w:r>
    <w:r w:rsidR="00954A4B">
      <w:rPr>
        <w:lang w:val="en-CA"/>
      </w:rPr>
      <w:t xml:space="preserve">ate: </w:t>
    </w:r>
    <w:r w:rsidR="00F97B2F">
      <w:rPr>
        <w:lang w:val="en-CA"/>
      </w:rPr>
      <w:t>April 3</w:t>
    </w:r>
    <w:bookmarkStart w:id="0" w:name="_GoBack"/>
    <w:bookmarkEnd w:id="0"/>
    <w:r w:rsidR="001E1117">
      <w:rPr>
        <w:lang w:val="en-CA"/>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8098" w14:textId="77777777" w:rsidR="000749E9" w:rsidRDefault="00074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7D"/>
    <w:multiLevelType w:val="hybridMultilevel"/>
    <w:tmpl w:val="D6C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45585"/>
    <w:multiLevelType w:val="hybridMultilevel"/>
    <w:tmpl w:val="527A67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33824"/>
    <w:multiLevelType w:val="multilevel"/>
    <w:tmpl w:val="DEE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66B28"/>
    <w:multiLevelType w:val="hybridMultilevel"/>
    <w:tmpl w:val="440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156B"/>
    <w:multiLevelType w:val="hybridMultilevel"/>
    <w:tmpl w:val="A36E5938"/>
    <w:lvl w:ilvl="0" w:tplc="258A98E8">
      <w:start w:val="1"/>
      <w:numFmt w:val="decimal"/>
      <w:lvlText w:val="%1."/>
      <w:lvlJc w:val="left"/>
      <w:pPr>
        <w:tabs>
          <w:tab w:val="num" w:pos="720"/>
        </w:tabs>
        <w:ind w:left="720" w:hanging="360"/>
      </w:pPr>
    </w:lvl>
    <w:lvl w:ilvl="1" w:tplc="96060798" w:tentative="1">
      <w:start w:val="1"/>
      <w:numFmt w:val="decimal"/>
      <w:lvlText w:val="%2."/>
      <w:lvlJc w:val="left"/>
      <w:pPr>
        <w:tabs>
          <w:tab w:val="num" w:pos="1440"/>
        </w:tabs>
        <w:ind w:left="1440" w:hanging="360"/>
      </w:pPr>
    </w:lvl>
    <w:lvl w:ilvl="2" w:tplc="B33ECC58" w:tentative="1">
      <w:start w:val="1"/>
      <w:numFmt w:val="decimal"/>
      <w:lvlText w:val="%3."/>
      <w:lvlJc w:val="left"/>
      <w:pPr>
        <w:tabs>
          <w:tab w:val="num" w:pos="2160"/>
        </w:tabs>
        <w:ind w:left="2160" w:hanging="360"/>
      </w:pPr>
    </w:lvl>
    <w:lvl w:ilvl="3" w:tplc="CAD85626" w:tentative="1">
      <w:start w:val="1"/>
      <w:numFmt w:val="decimal"/>
      <w:lvlText w:val="%4."/>
      <w:lvlJc w:val="left"/>
      <w:pPr>
        <w:tabs>
          <w:tab w:val="num" w:pos="2880"/>
        </w:tabs>
        <w:ind w:left="2880" w:hanging="360"/>
      </w:pPr>
    </w:lvl>
    <w:lvl w:ilvl="4" w:tplc="77B6F630" w:tentative="1">
      <w:start w:val="1"/>
      <w:numFmt w:val="decimal"/>
      <w:lvlText w:val="%5."/>
      <w:lvlJc w:val="left"/>
      <w:pPr>
        <w:tabs>
          <w:tab w:val="num" w:pos="3600"/>
        </w:tabs>
        <w:ind w:left="3600" w:hanging="360"/>
      </w:pPr>
    </w:lvl>
    <w:lvl w:ilvl="5" w:tplc="2938A3BE" w:tentative="1">
      <w:start w:val="1"/>
      <w:numFmt w:val="decimal"/>
      <w:lvlText w:val="%6."/>
      <w:lvlJc w:val="left"/>
      <w:pPr>
        <w:tabs>
          <w:tab w:val="num" w:pos="4320"/>
        </w:tabs>
        <w:ind w:left="4320" w:hanging="360"/>
      </w:pPr>
    </w:lvl>
    <w:lvl w:ilvl="6" w:tplc="5EBE2F48" w:tentative="1">
      <w:start w:val="1"/>
      <w:numFmt w:val="decimal"/>
      <w:lvlText w:val="%7."/>
      <w:lvlJc w:val="left"/>
      <w:pPr>
        <w:tabs>
          <w:tab w:val="num" w:pos="5040"/>
        </w:tabs>
        <w:ind w:left="5040" w:hanging="360"/>
      </w:pPr>
    </w:lvl>
    <w:lvl w:ilvl="7" w:tplc="5202AA0E" w:tentative="1">
      <w:start w:val="1"/>
      <w:numFmt w:val="decimal"/>
      <w:lvlText w:val="%8."/>
      <w:lvlJc w:val="left"/>
      <w:pPr>
        <w:tabs>
          <w:tab w:val="num" w:pos="5760"/>
        </w:tabs>
        <w:ind w:left="5760" w:hanging="360"/>
      </w:pPr>
    </w:lvl>
    <w:lvl w:ilvl="8" w:tplc="59C8A490" w:tentative="1">
      <w:start w:val="1"/>
      <w:numFmt w:val="decimal"/>
      <w:lvlText w:val="%9."/>
      <w:lvlJc w:val="left"/>
      <w:pPr>
        <w:tabs>
          <w:tab w:val="num" w:pos="6480"/>
        </w:tabs>
        <w:ind w:left="6480" w:hanging="360"/>
      </w:pPr>
    </w:lvl>
  </w:abstractNum>
  <w:abstractNum w:abstractNumId="5" w15:restartNumberingAfterBreak="0">
    <w:nsid w:val="50E4010E"/>
    <w:multiLevelType w:val="hybridMultilevel"/>
    <w:tmpl w:val="4DBE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C068F"/>
    <w:multiLevelType w:val="hybridMultilevel"/>
    <w:tmpl w:val="76B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74"/>
    <w:rsid w:val="00073F0C"/>
    <w:rsid w:val="000749E9"/>
    <w:rsid w:val="00083129"/>
    <w:rsid w:val="00086E12"/>
    <w:rsid w:val="000900D6"/>
    <w:rsid w:val="000C6E90"/>
    <w:rsid w:val="00103E9E"/>
    <w:rsid w:val="00120CB1"/>
    <w:rsid w:val="00124AE7"/>
    <w:rsid w:val="00131224"/>
    <w:rsid w:val="001B089E"/>
    <w:rsid w:val="001C5027"/>
    <w:rsid w:val="001D4FE7"/>
    <w:rsid w:val="001E1117"/>
    <w:rsid w:val="001F611D"/>
    <w:rsid w:val="002544F9"/>
    <w:rsid w:val="0027460F"/>
    <w:rsid w:val="0029152F"/>
    <w:rsid w:val="00321570"/>
    <w:rsid w:val="00344289"/>
    <w:rsid w:val="00355C74"/>
    <w:rsid w:val="003642D9"/>
    <w:rsid w:val="003C690F"/>
    <w:rsid w:val="003D6B26"/>
    <w:rsid w:val="004224FA"/>
    <w:rsid w:val="004403C9"/>
    <w:rsid w:val="0044539C"/>
    <w:rsid w:val="00456974"/>
    <w:rsid w:val="00497C03"/>
    <w:rsid w:val="00501378"/>
    <w:rsid w:val="00516A7E"/>
    <w:rsid w:val="00544CCB"/>
    <w:rsid w:val="00567638"/>
    <w:rsid w:val="005F33D3"/>
    <w:rsid w:val="005F62A0"/>
    <w:rsid w:val="0060623D"/>
    <w:rsid w:val="00616B61"/>
    <w:rsid w:val="00696245"/>
    <w:rsid w:val="006B16E4"/>
    <w:rsid w:val="006F2504"/>
    <w:rsid w:val="00742F1D"/>
    <w:rsid w:val="00774D09"/>
    <w:rsid w:val="00803DAE"/>
    <w:rsid w:val="00872A76"/>
    <w:rsid w:val="00881FA1"/>
    <w:rsid w:val="008C0091"/>
    <w:rsid w:val="0091196C"/>
    <w:rsid w:val="0094188D"/>
    <w:rsid w:val="00953CF7"/>
    <w:rsid w:val="009548AA"/>
    <w:rsid w:val="00954A4B"/>
    <w:rsid w:val="00985A89"/>
    <w:rsid w:val="009A5C40"/>
    <w:rsid w:val="009C50DF"/>
    <w:rsid w:val="00A55CE6"/>
    <w:rsid w:val="00A719B8"/>
    <w:rsid w:val="00A90CB2"/>
    <w:rsid w:val="00AB6585"/>
    <w:rsid w:val="00B445FC"/>
    <w:rsid w:val="00B47AA0"/>
    <w:rsid w:val="00B53566"/>
    <w:rsid w:val="00B53AFC"/>
    <w:rsid w:val="00B84770"/>
    <w:rsid w:val="00C06DC1"/>
    <w:rsid w:val="00C8671F"/>
    <w:rsid w:val="00CC116E"/>
    <w:rsid w:val="00D03428"/>
    <w:rsid w:val="00D17779"/>
    <w:rsid w:val="00D24CB8"/>
    <w:rsid w:val="00D5561F"/>
    <w:rsid w:val="00D823B9"/>
    <w:rsid w:val="00D858CA"/>
    <w:rsid w:val="00DB6517"/>
    <w:rsid w:val="00DC018A"/>
    <w:rsid w:val="00E64284"/>
    <w:rsid w:val="00E70358"/>
    <w:rsid w:val="00EA2CC9"/>
    <w:rsid w:val="00EC1B74"/>
    <w:rsid w:val="00EE5B12"/>
    <w:rsid w:val="00F00835"/>
    <w:rsid w:val="00F02E0F"/>
    <w:rsid w:val="00F56839"/>
    <w:rsid w:val="00F81DA4"/>
    <w:rsid w:val="00F97B2F"/>
    <w:rsid w:val="00FB5B79"/>
    <w:rsid w:val="00FC6157"/>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659"/>
  <w15:docId w15:val="{D555D016-E906-4C4B-852D-9FD3150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8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5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74"/>
    <w:rPr>
      <w:color w:val="0000FF" w:themeColor="hyperlink"/>
      <w:u w:val="single"/>
    </w:rPr>
  </w:style>
  <w:style w:type="character" w:styleId="FollowedHyperlink">
    <w:name w:val="FollowedHyperlink"/>
    <w:basedOn w:val="DefaultParagraphFont"/>
    <w:uiPriority w:val="99"/>
    <w:semiHidden/>
    <w:unhideWhenUsed/>
    <w:rsid w:val="00355C74"/>
    <w:rPr>
      <w:color w:val="800080" w:themeColor="followedHyperlink"/>
      <w:u w:val="single"/>
    </w:rPr>
  </w:style>
  <w:style w:type="table" w:styleId="TableGrid">
    <w:name w:val="Table Grid"/>
    <w:basedOn w:val="TableNormal"/>
    <w:uiPriority w:val="59"/>
    <w:rsid w:val="0050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3B9"/>
    <w:pPr>
      <w:ind w:left="720"/>
      <w:contextualSpacing/>
    </w:pPr>
  </w:style>
  <w:style w:type="character" w:styleId="UnresolvedMention">
    <w:name w:val="Unresolved Mention"/>
    <w:basedOn w:val="DefaultParagraphFont"/>
    <w:uiPriority w:val="99"/>
    <w:semiHidden/>
    <w:unhideWhenUsed/>
    <w:rsid w:val="00B84770"/>
    <w:rPr>
      <w:color w:val="605E5C"/>
      <w:shd w:val="clear" w:color="auto" w:fill="E1DFDD"/>
    </w:rPr>
  </w:style>
  <w:style w:type="paragraph" w:styleId="Header">
    <w:name w:val="header"/>
    <w:basedOn w:val="Normal"/>
    <w:link w:val="HeaderChar"/>
    <w:uiPriority w:val="99"/>
    <w:unhideWhenUsed/>
    <w:rsid w:val="0095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4B"/>
  </w:style>
  <w:style w:type="paragraph" w:styleId="Footer">
    <w:name w:val="footer"/>
    <w:basedOn w:val="Normal"/>
    <w:link w:val="FooterChar"/>
    <w:uiPriority w:val="99"/>
    <w:unhideWhenUsed/>
    <w:rsid w:val="0095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4B"/>
  </w:style>
  <w:style w:type="character" w:customStyle="1" w:styleId="Heading1Char">
    <w:name w:val="Heading 1 Char"/>
    <w:basedOn w:val="DefaultParagraphFont"/>
    <w:link w:val="Heading1"/>
    <w:uiPriority w:val="9"/>
    <w:rsid w:val="001B08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089E"/>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B08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89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55CE6"/>
    <w:rPr>
      <w:rFonts w:asciiTheme="majorHAnsi" w:eastAsiaTheme="majorEastAsia" w:hAnsiTheme="majorHAnsi" w:cstheme="majorBidi"/>
      <w:color w:val="243F60" w:themeColor="accent1" w:themeShade="7F"/>
      <w:sz w:val="24"/>
      <w:szCs w:val="24"/>
    </w:rPr>
  </w:style>
  <w:style w:type="paragraph" w:customStyle="1" w:styleId="xmsolistparagraph">
    <w:name w:val="x_msolistparagraph"/>
    <w:basedOn w:val="Normal"/>
    <w:rsid w:val="00497C0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28">
      <w:bodyDiv w:val="1"/>
      <w:marLeft w:val="0"/>
      <w:marRight w:val="0"/>
      <w:marTop w:val="0"/>
      <w:marBottom w:val="0"/>
      <w:divBdr>
        <w:top w:val="none" w:sz="0" w:space="0" w:color="auto"/>
        <w:left w:val="none" w:sz="0" w:space="0" w:color="auto"/>
        <w:bottom w:val="none" w:sz="0" w:space="0" w:color="auto"/>
        <w:right w:val="none" w:sz="0" w:space="0" w:color="auto"/>
      </w:divBdr>
    </w:div>
    <w:div w:id="238293844">
      <w:bodyDiv w:val="1"/>
      <w:marLeft w:val="0"/>
      <w:marRight w:val="0"/>
      <w:marTop w:val="0"/>
      <w:marBottom w:val="0"/>
      <w:divBdr>
        <w:top w:val="none" w:sz="0" w:space="0" w:color="auto"/>
        <w:left w:val="none" w:sz="0" w:space="0" w:color="auto"/>
        <w:bottom w:val="none" w:sz="0" w:space="0" w:color="auto"/>
        <w:right w:val="none" w:sz="0" w:space="0" w:color="auto"/>
      </w:divBdr>
    </w:div>
    <w:div w:id="534194394">
      <w:bodyDiv w:val="1"/>
      <w:marLeft w:val="0"/>
      <w:marRight w:val="0"/>
      <w:marTop w:val="0"/>
      <w:marBottom w:val="0"/>
      <w:divBdr>
        <w:top w:val="none" w:sz="0" w:space="0" w:color="auto"/>
        <w:left w:val="none" w:sz="0" w:space="0" w:color="auto"/>
        <w:bottom w:val="none" w:sz="0" w:space="0" w:color="auto"/>
        <w:right w:val="none" w:sz="0" w:space="0" w:color="auto"/>
      </w:divBdr>
    </w:div>
    <w:div w:id="621150760">
      <w:bodyDiv w:val="1"/>
      <w:marLeft w:val="0"/>
      <w:marRight w:val="0"/>
      <w:marTop w:val="0"/>
      <w:marBottom w:val="0"/>
      <w:divBdr>
        <w:top w:val="none" w:sz="0" w:space="0" w:color="auto"/>
        <w:left w:val="none" w:sz="0" w:space="0" w:color="auto"/>
        <w:bottom w:val="none" w:sz="0" w:space="0" w:color="auto"/>
        <w:right w:val="none" w:sz="0" w:space="0" w:color="auto"/>
      </w:divBdr>
    </w:div>
    <w:div w:id="724328886">
      <w:bodyDiv w:val="1"/>
      <w:marLeft w:val="0"/>
      <w:marRight w:val="0"/>
      <w:marTop w:val="0"/>
      <w:marBottom w:val="0"/>
      <w:divBdr>
        <w:top w:val="none" w:sz="0" w:space="0" w:color="auto"/>
        <w:left w:val="none" w:sz="0" w:space="0" w:color="auto"/>
        <w:bottom w:val="none" w:sz="0" w:space="0" w:color="auto"/>
        <w:right w:val="none" w:sz="0" w:space="0" w:color="auto"/>
      </w:divBdr>
    </w:div>
    <w:div w:id="1304698988">
      <w:bodyDiv w:val="1"/>
      <w:marLeft w:val="0"/>
      <w:marRight w:val="0"/>
      <w:marTop w:val="0"/>
      <w:marBottom w:val="0"/>
      <w:divBdr>
        <w:top w:val="none" w:sz="0" w:space="0" w:color="auto"/>
        <w:left w:val="none" w:sz="0" w:space="0" w:color="auto"/>
        <w:bottom w:val="none" w:sz="0" w:space="0" w:color="auto"/>
        <w:right w:val="none" w:sz="0" w:space="0" w:color="auto"/>
      </w:divBdr>
    </w:div>
    <w:div w:id="1438716325">
      <w:bodyDiv w:val="1"/>
      <w:marLeft w:val="0"/>
      <w:marRight w:val="0"/>
      <w:marTop w:val="0"/>
      <w:marBottom w:val="0"/>
      <w:divBdr>
        <w:top w:val="none" w:sz="0" w:space="0" w:color="auto"/>
        <w:left w:val="none" w:sz="0" w:space="0" w:color="auto"/>
        <w:bottom w:val="none" w:sz="0" w:space="0" w:color="auto"/>
        <w:right w:val="none" w:sz="0" w:space="0" w:color="auto"/>
      </w:divBdr>
      <w:divsChild>
        <w:div w:id="1384676646">
          <w:marLeft w:val="547"/>
          <w:marRight w:val="0"/>
          <w:marTop w:val="58"/>
          <w:marBottom w:val="0"/>
          <w:divBdr>
            <w:top w:val="none" w:sz="0" w:space="0" w:color="auto"/>
            <w:left w:val="none" w:sz="0" w:space="0" w:color="auto"/>
            <w:bottom w:val="none" w:sz="0" w:space="0" w:color="auto"/>
            <w:right w:val="none" w:sz="0" w:space="0" w:color="auto"/>
          </w:divBdr>
        </w:div>
        <w:div w:id="1611817853">
          <w:marLeft w:val="547"/>
          <w:marRight w:val="0"/>
          <w:marTop w:val="58"/>
          <w:marBottom w:val="0"/>
          <w:divBdr>
            <w:top w:val="none" w:sz="0" w:space="0" w:color="auto"/>
            <w:left w:val="none" w:sz="0" w:space="0" w:color="auto"/>
            <w:bottom w:val="none" w:sz="0" w:space="0" w:color="auto"/>
            <w:right w:val="none" w:sz="0" w:space="0" w:color="auto"/>
          </w:divBdr>
        </w:div>
        <w:div w:id="88047431">
          <w:marLeft w:val="547"/>
          <w:marRight w:val="0"/>
          <w:marTop w:val="58"/>
          <w:marBottom w:val="0"/>
          <w:divBdr>
            <w:top w:val="none" w:sz="0" w:space="0" w:color="auto"/>
            <w:left w:val="none" w:sz="0" w:space="0" w:color="auto"/>
            <w:bottom w:val="none" w:sz="0" w:space="0" w:color="auto"/>
            <w:right w:val="none" w:sz="0" w:space="0" w:color="auto"/>
          </w:divBdr>
        </w:div>
        <w:div w:id="1996906692">
          <w:marLeft w:val="547"/>
          <w:marRight w:val="0"/>
          <w:marTop w:val="58"/>
          <w:marBottom w:val="0"/>
          <w:divBdr>
            <w:top w:val="none" w:sz="0" w:space="0" w:color="auto"/>
            <w:left w:val="none" w:sz="0" w:space="0" w:color="auto"/>
            <w:bottom w:val="none" w:sz="0" w:space="0" w:color="auto"/>
            <w:right w:val="none" w:sz="0" w:space="0" w:color="auto"/>
          </w:divBdr>
        </w:div>
      </w:divsChild>
    </w:div>
    <w:div w:id="1455099735">
      <w:bodyDiv w:val="1"/>
      <w:marLeft w:val="0"/>
      <w:marRight w:val="0"/>
      <w:marTop w:val="0"/>
      <w:marBottom w:val="0"/>
      <w:divBdr>
        <w:top w:val="none" w:sz="0" w:space="0" w:color="auto"/>
        <w:left w:val="none" w:sz="0" w:space="0" w:color="auto"/>
        <w:bottom w:val="none" w:sz="0" w:space="0" w:color="auto"/>
        <w:right w:val="none" w:sz="0" w:space="0" w:color="auto"/>
      </w:divBdr>
    </w:div>
    <w:div w:id="1686975261">
      <w:bodyDiv w:val="1"/>
      <w:marLeft w:val="0"/>
      <w:marRight w:val="0"/>
      <w:marTop w:val="0"/>
      <w:marBottom w:val="0"/>
      <w:divBdr>
        <w:top w:val="none" w:sz="0" w:space="0" w:color="auto"/>
        <w:left w:val="none" w:sz="0" w:space="0" w:color="auto"/>
        <w:bottom w:val="none" w:sz="0" w:space="0" w:color="auto"/>
        <w:right w:val="none" w:sz="0" w:space="0" w:color="auto"/>
      </w:divBdr>
    </w:div>
    <w:div w:id="18019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zscot.org/sites/default/files/2019-07/Core%20Principles.pdf" TargetMode="External"/><Relationship Id="rId21" Type="http://schemas.openxmlformats.org/officeDocument/2006/relationships/hyperlink" Target="https://www.dementiavoices.org.uk/wp-content/uploads/2013/11/Guide-for-conference-presenters.pdf" TargetMode="External"/><Relationship Id="rId42" Type="http://schemas.openxmlformats.org/officeDocument/2006/relationships/hyperlink" Target="https://doi.org/10.1177/1609406918782784" TargetMode="External"/><Relationship Id="rId47" Type="http://schemas.openxmlformats.org/officeDocument/2006/relationships/hyperlink" Target="https://doi.org/10.1177/1471301216674559" TargetMode="External"/><Relationship Id="rId63" Type="http://schemas.openxmlformats.org/officeDocument/2006/relationships/hyperlink" Target="https://doi.org/10.1186/s13012-018-0784-z" TargetMode="External"/><Relationship Id="rId68" Type="http://schemas.openxmlformats.org/officeDocument/2006/relationships/hyperlink" Target="https://doi.org/10.1111/hex.12888" TargetMode="External"/><Relationship Id="rId84" Type="http://schemas.openxmlformats.org/officeDocument/2006/relationships/theme" Target="theme/theme1.xml"/><Relationship Id="rId16" Type="http://schemas.openxmlformats.org/officeDocument/2006/relationships/hyperlink" Target="https://www.alzheimers.org.uk/dementia-professionals/dementia-experience-toolkit/research-methods/surveys" TargetMode="External"/><Relationship Id="rId11" Type="http://schemas.openxmlformats.org/officeDocument/2006/relationships/hyperlink" Target="http://dementiavoices.org.uk/wp-content/uploads/2015/03/DEEP-Guide-Language.pdf" TargetMode="External"/><Relationship Id="rId32" Type="http://schemas.openxmlformats.org/officeDocument/2006/relationships/hyperlink" Target="https://doi.org/10.1177/1471301211421063" TargetMode="External"/><Relationship Id="rId37" Type="http://schemas.openxmlformats.org/officeDocument/2006/relationships/hyperlink" Target="https://doi.org/10.1177/1471301218789309" TargetMode="External"/><Relationship Id="rId53" Type="http://schemas.openxmlformats.org/officeDocument/2006/relationships/hyperlink" Target="https://ceppp.ca/en/collaborations/evaluation-toolkit/" TargetMode="External"/><Relationship Id="rId58" Type="http://schemas.openxmlformats.org/officeDocument/2006/relationships/hyperlink" Target="https://www.invo.org.uk/resource-for-researchers-case-studies/" TargetMode="External"/><Relationship Id="rId74" Type="http://schemas.openxmlformats.org/officeDocument/2006/relationships/hyperlink" Target="https://www.invo.org.uk/resource-centre/payment-and-recognition-for-public-involvement/"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oi.org/10.1093/ageing/afv201" TargetMode="External"/><Relationship Id="rId82" Type="http://schemas.openxmlformats.org/officeDocument/2006/relationships/footer" Target="footer3.xml"/><Relationship Id="rId19" Type="http://schemas.openxmlformats.org/officeDocument/2006/relationships/hyperlink" Target="https://www.dementiavoices.org.uk/wp-content/uploads/2013/11/DEEP-Guide-Choosing-a-meeting-space.pdf" TargetMode="External"/><Relationship Id="rId14" Type="http://schemas.openxmlformats.org/officeDocument/2006/relationships/hyperlink" Target="https://www.alzheimers.org.uk/dementia-professionals/dementia-experience-toolkit/research-methods" TargetMode="External"/><Relationship Id="rId22" Type="http://schemas.openxmlformats.org/officeDocument/2006/relationships/hyperlink" Target="https://www.dementiavoices.org.uk/wp-content/uploads/2013/11/DEEP-Guide-Conferences-and-events.pdf" TargetMode="External"/><Relationship Id="rId27" Type="http://schemas.openxmlformats.org/officeDocument/2006/relationships/hyperlink" Target="https://doi.org/10.1177/1471301218789292" TargetMode="External"/><Relationship Id="rId30" Type="http://schemas.openxmlformats.org/officeDocument/2006/relationships/hyperlink" Target="https://doi.org/10.1111/hex.13049" TargetMode="External"/><Relationship Id="rId35" Type="http://schemas.openxmlformats.org/officeDocument/2006/relationships/hyperlink" Target="https://doi.org/10.1080/13607863.2017.1317334" TargetMode="External"/><Relationship Id="rId43" Type="http://schemas.openxmlformats.org/officeDocument/2006/relationships/hyperlink" Target="https://doi.org/10.1177/1471301219876402" TargetMode="External"/><Relationship Id="rId48" Type="http://schemas.openxmlformats.org/officeDocument/2006/relationships/hyperlink" Target="https://doi.org/10.1111/hex.12891" TargetMode="External"/><Relationship Id="rId56" Type="http://schemas.openxmlformats.org/officeDocument/2006/relationships/hyperlink" Target="https://www.invo.org.uk/wp-content/uploads/2014/11/9938_INVOLVE_Briefing_Notes_WEB.pdf" TargetMode="External"/><Relationship Id="rId64" Type="http://schemas.openxmlformats.org/officeDocument/2006/relationships/hyperlink" Target="https://doi.org/10.1111/hex.12804" TargetMode="External"/><Relationship Id="rId69" Type="http://schemas.openxmlformats.org/officeDocument/2006/relationships/hyperlink" Target="https://doi.org/10.1186/s40900-016-0051-x" TargetMode="External"/><Relationship Id="rId77" Type="http://schemas.openxmlformats.org/officeDocument/2006/relationships/header" Target="header1.xml"/><Relationship Id="rId8" Type="http://schemas.openxmlformats.org/officeDocument/2006/relationships/hyperlink" Target="https://www.dementia.org.au/files/resources/dementia-language-guidelines.pdf" TargetMode="External"/><Relationship Id="rId51" Type="http://schemas.openxmlformats.org/officeDocument/2006/relationships/hyperlink" Target="https://cihr-irsc.gc.ca/e/documents/Guide_to_Researcher_and_KU_Collaboration.pdf" TargetMode="External"/><Relationship Id="rId72" Type="http://schemas.openxmlformats.org/officeDocument/2006/relationships/hyperlink" Target="https://cihr-irsc.gc.ca/e/51466.html"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nvo.org.uk/wp-content/uploads/2014/05/MICA4flyer.pdf" TargetMode="External"/><Relationship Id="rId17" Type="http://schemas.openxmlformats.org/officeDocument/2006/relationships/hyperlink" Target="https://www.alzheimers.org.uk/dementia-professionals/dementia-experience-toolkit/working-with-data" TargetMode="External"/><Relationship Id="rId25" Type="http://schemas.openxmlformats.org/officeDocument/2006/relationships/hyperlink" Target="https://www.alzscot.org/sites/default/files/2019-07/Dementia%20Friendly%20Meetings.pdf" TargetMode="External"/><Relationship Id="rId33" Type="http://schemas.openxmlformats.org/officeDocument/2006/relationships/hyperlink" Target="https://doi.org/10.1016/j.jagp.2019.10.014" TargetMode="External"/><Relationship Id="rId38" Type="http://schemas.openxmlformats.org/officeDocument/2006/relationships/hyperlink" Target="https://doi.org/10.1186/s13063-018-3069-6" TargetMode="External"/><Relationship Id="rId46" Type="http://schemas.openxmlformats.org/officeDocument/2006/relationships/hyperlink" Target="https://doi.org/10.1177/1471301216659213" TargetMode="External"/><Relationship Id="rId59" Type="http://schemas.openxmlformats.org/officeDocument/2006/relationships/hyperlink" Target="https://www.invo.org.uk/resource-for-researchers-templates/" TargetMode="External"/><Relationship Id="rId67" Type="http://schemas.openxmlformats.org/officeDocument/2006/relationships/hyperlink" Target="https://doi.org/10.1186/s40900-018-0095-1" TargetMode="External"/><Relationship Id="rId20" Type="http://schemas.openxmlformats.org/officeDocument/2006/relationships/hyperlink" Target="https://www.dementiavoices.org.uk/wp-content/uploads/2016/03/DEEPGuidance_involvingpeoplewithdementiainadvisorygroups.pdf" TargetMode="External"/><Relationship Id="rId41" Type="http://schemas.openxmlformats.org/officeDocument/2006/relationships/hyperlink" Target="https://doi.org/10.1177/1471301218789558" TargetMode="External"/><Relationship Id="rId54" Type="http://schemas.openxmlformats.org/officeDocument/2006/relationships/hyperlink" Target="https://ceppp.us19.list-manage.com/subscribe?u=fe6724e4a3bbbac315fa15dd6&amp;id=a562f9236b" TargetMode="External"/><Relationship Id="rId62" Type="http://schemas.openxmlformats.org/officeDocument/2006/relationships/hyperlink" Target="https://doi.org/10.1111/hex.13040" TargetMode="External"/><Relationship Id="rId70" Type="http://schemas.openxmlformats.org/officeDocument/2006/relationships/hyperlink" Target="https://doi.org/10.1136/bmjopen-2018-022154" TargetMode="External"/><Relationship Id="rId75" Type="http://schemas.openxmlformats.org/officeDocument/2006/relationships/hyperlink" Target="https://diabetesaction.ca/wp-content/uploads/2018/07/TASK-FORCE-IN-PATIENT-ENGAGEMENT-COMPENSATION-REPORT_FINAL-1.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lzheimers.org.uk/dementia-professionals/dementia-experience-toolkit/research-methods/tips-dementia-friendly-surveys" TargetMode="External"/><Relationship Id="rId23" Type="http://schemas.openxmlformats.org/officeDocument/2006/relationships/hyperlink" Target="https://www.dementiavoices.org.uk/wp-content/uploads/2013/11/DEEP-Guide-Consulting-about-written-documents.pdf" TargetMode="External"/><Relationship Id="rId28" Type="http://schemas.openxmlformats.org/officeDocument/2006/relationships/hyperlink" Target="https://doi.org/10.1097/YCO.0000000000000548" TargetMode="External"/><Relationship Id="rId36" Type="http://schemas.openxmlformats.org/officeDocument/2006/relationships/hyperlink" Target="https://doi.org/10.1111/j.1369-7625.2011.00728.x" TargetMode="External"/><Relationship Id="rId49" Type="http://schemas.openxmlformats.org/officeDocument/2006/relationships/hyperlink" Target="https://doi.org/10.1177/1471301218789567" TargetMode="External"/><Relationship Id="rId57" Type="http://schemas.openxmlformats.org/officeDocument/2006/relationships/hyperlink" Target="https://www.invo.org.uk/supplements-to-resource-for-researchers/" TargetMode="External"/><Relationship Id="rId10" Type="http://schemas.openxmlformats.org/officeDocument/2006/relationships/hyperlink" Target="https://www.alzheimers.org.uk/research/researchers/grant-application-advice-from-people-affected-dementia" TargetMode="External"/><Relationship Id="rId31" Type="http://schemas.openxmlformats.org/officeDocument/2006/relationships/hyperlink" Target="https://doi.org/10.1080/13607863.2016.1254596" TargetMode="External"/><Relationship Id="rId44" Type="http://schemas.openxmlformats.org/officeDocument/2006/relationships/hyperlink" Target="https://doi.org/10.1177/1471301214533255" TargetMode="External"/><Relationship Id="rId52" Type="http://schemas.openxmlformats.org/officeDocument/2006/relationships/hyperlink" Target="https://cihr-irsc.gc.ca/e/51916.html" TargetMode="External"/><Relationship Id="rId60" Type="http://schemas.openxmlformats.org/officeDocument/2006/relationships/hyperlink" Target="https://cihr-irsc.gc.ca/e/45859.html" TargetMode="External"/><Relationship Id="rId65" Type="http://schemas.openxmlformats.org/officeDocument/2006/relationships/hyperlink" Target="https://doi.org/10.1186/1471-2288-14-42" TargetMode="External"/><Relationship Id="rId73" Type="http://schemas.openxmlformats.org/officeDocument/2006/relationships/hyperlink" Target="https://changefoundation.ca/wp-content/uploads/2016/05/Should-money-come-into-it.pdf"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lzheimers.org.uk/sites/default/files/2018-09/Positive%20language%20guide_0.pdf" TargetMode="External"/><Relationship Id="rId13" Type="http://schemas.openxmlformats.org/officeDocument/2006/relationships/hyperlink" Target="https://alzheimer.ca/sites/default/files/files/national/meaningful-engagement/meaningful-engagement-of-people-with-dementia.pdf" TargetMode="External"/><Relationship Id="rId18" Type="http://schemas.openxmlformats.org/officeDocument/2006/relationships/hyperlink" Target="https://www.dementiavoices.org.uk/deep-guides/for-organisations-and-communities/" TargetMode="External"/><Relationship Id="rId39" Type="http://schemas.openxmlformats.org/officeDocument/2006/relationships/hyperlink" Target="https://doi.org/10.1186/s12877-019-1217-9" TargetMode="External"/><Relationship Id="rId34" Type="http://schemas.openxmlformats.org/officeDocument/2006/relationships/hyperlink" Target="https://doi.org/10.1136/bmjopen-2016-013064" TargetMode="External"/><Relationship Id="rId50" Type="http://schemas.openxmlformats.org/officeDocument/2006/relationships/hyperlink" Target="https://cihr-irsc.gc.ca/e/documents/spor_framework-en.pdf" TargetMode="External"/><Relationship Id="rId55" Type="http://schemas.openxmlformats.org/officeDocument/2006/relationships/hyperlink" Target="https://chimb.ca/sub-sites/1-patient-engagement?page=75-engagement-methods" TargetMode="External"/><Relationship Id="rId76" Type="http://schemas.openxmlformats.org/officeDocument/2006/relationships/hyperlink" Target="https://doi.org/10.35680/2372-0247.1334" TargetMode="External"/><Relationship Id="rId7" Type="http://schemas.openxmlformats.org/officeDocument/2006/relationships/hyperlink" Target="https://alzheimer.ca/sites/default/files/files/national/culture-change/person-centred-language-guidelines.pdf" TargetMode="External"/><Relationship Id="rId71" Type="http://schemas.openxmlformats.org/officeDocument/2006/relationships/hyperlink" Target="https://doi.org/10.1136/bmj.j3453" TargetMode="External"/><Relationship Id="rId2" Type="http://schemas.openxmlformats.org/officeDocument/2006/relationships/styles" Target="styles.xml"/><Relationship Id="rId29" Type="http://schemas.openxmlformats.org/officeDocument/2006/relationships/hyperlink" Target="https://doi.org/10.1002/gps.4577" TargetMode="External"/><Relationship Id="rId24" Type="http://schemas.openxmlformats.org/officeDocument/2006/relationships/hyperlink" Target="https://uwaterloo.ca/partnerships-in-dementia-care/sites/ca.partnerships-in-dementia-care/files/uploads/files/authentic_partnerships_fact_sheet.pdf" TargetMode="External"/><Relationship Id="rId40" Type="http://schemas.openxmlformats.org/officeDocument/2006/relationships/hyperlink" Target="https://doi.org/10.1186/s40900-016-0021-3" TargetMode="External"/><Relationship Id="rId45" Type="http://schemas.openxmlformats.org/officeDocument/2006/relationships/hyperlink" Target="https://doi.org/10.1080/09638288.2017.1298162" TargetMode="External"/><Relationship Id="rId66" Type="http://schemas.openxmlformats.org/officeDocument/2006/relationships/hyperlink" Target="https://doi.org/10.1136/bmj.k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Bethell, Jennifer</dc:creator>
  <cp:lastModifiedBy>Jennifer Bethell</cp:lastModifiedBy>
  <cp:revision>24</cp:revision>
  <dcterms:created xsi:type="dcterms:W3CDTF">2020-03-27T14:58:00Z</dcterms:created>
  <dcterms:modified xsi:type="dcterms:W3CDTF">2020-05-04T13:14:00Z</dcterms:modified>
</cp:coreProperties>
</file>