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DC084" w14:textId="6E680231" w:rsidR="007451F3" w:rsidRPr="00AF4233" w:rsidRDefault="007451F3" w:rsidP="007451F3">
      <w:pPr>
        <w:spacing w:after="0"/>
        <w:rPr>
          <w:rFonts w:ascii="Arial Narrow" w:hAnsi="Arial Narrow"/>
          <w:b/>
          <w:sz w:val="32"/>
          <w:szCs w:val="24"/>
          <w:lang w:val="fr-CA"/>
        </w:rPr>
      </w:pPr>
      <w:r w:rsidRPr="00AF4233">
        <w:rPr>
          <w:rFonts w:ascii="Arial Narrow" w:hAnsi="Arial Narrow"/>
          <w:b/>
          <w:noProof/>
          <w:sz w:val="32"/>
          <w:szCs w:val="24"/>
          <w:lang w:val="fr-CA" w:eastAsia="fr-CA"/>
        </w:rPr>
        <w:drawing>
          <wp:inline distT="0" distB="0" distL="0" distR="0" wp14:anchorId="2728F8C1" wp14:editId="17F59D12">
            <wp:extent cx="5611008" cy="1686160"/>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logos for letterhead.png"/>
                    <pic:cNvPicPr/>
                  </pic:nvPicPr>
                  <pic:blipFill>
                    <a:blip r:embed="rId7">
                      <a:extLst>
                        <a:ext uri="{28A0092B-C50C-407E-A947-70E740481C1C}">
                          <a14:useLocalDpi xmlns:a14="http://schemas.microsoft.com/office/drawing/2010/main" val="0"/>
                        </a:ext>
                      </a:extLst>
                    </a:blip>
                    <a:stretch>
                      <a:fillRect/>
                    </a:stretch>
                  </pic:blipFill>
                  <pic:spPr>
                    <a:xfrm>
                      <a:off x="0" y="0"/>
                      <a:ext cx="5611008" cy="1686160"/>
                    </a:xfrm>
                    <a:prstGeom prst="rect">
                      <a:avLst/>
                    </a:prstGeom>
                  </pic:spPr>
                </pic:pic>
              </a:graphicData>
            </a:graphic>
          </wp:inline>
        </w:drawing>
      </w:r>
    </w:p>
    <w:p w14:paraId="76E7EEA9" w14:textId="48CE0AA0" w:rsidR="00461AA4" w:rsidRPr="00AF4233" w:rsidRDefault="007E5D23" w:rsidP="00B73834">
      <w:pPr>
        <w:spacing w:after="0"/>
        <w:jc w:val="right"/>
        <w:rPr>
          <w:rFonts w:ascii="Arial Narrow" w:hAnsi="Arial Narrow"/>
          <w:b/>
          <w:sz w:val="32"/>
          <w:szCs w:val="24"/>
          <w:lang w:val="fr-CA"/>
        </w:rPr>
      </w:pPr>
      <w:r w:rsidRPr="00AF4233">
        <w:rPr>
          <w:rFonts w:ascii="Arial Narrow" w:hAnsi="Arial Narrow"/>
          <w:b/>
          <w:sz w:val="32"/>
          <w:szCs w:val="24"/>
          <w:lang w:val="fr-CA"/>
        </w:rPr>
        <w:t>Communiqué de presse</w:t>
      </w:r>
    </w:p>
    <w:p w14:paraId="3ABBCE65" w14:textId="6ECEBFE7" w:rsidR="00AA7AA1" w:rsidRPr="00AF4233" w:rsidRDefault="007E5D23" w:rsidP="00B73834">
      <w:pPr>
        <w:spacing w:after="0"/>
        <w:jc w:val="right"/>
        <w:rPr>
          <w:rFonts w:ascii="Arial Narrow" w:hAnsi="Arial Narrow"/>
          <w:b/>
          <w:sz w:val="24"/>
          <w:szCs w:val="24"/>
          <w:lang w:val="fr-CA"/>
        </w:rPr>
      </w:pPr>
      <w:r w:rsidRPr="00AF4233">
        <w:rPr>
          <w:rFonts w:ascii="Arial Narrow" w:hAnsi="Arial Narrow"/>
          <w:b/>
          <w:sz w:val="24"/>
          <w:szCs w:val="24"/>
          <w:lang w:val="fr-CA"/>
        </w:rPr>
        <w:t xml:space="preserve">Pour </w:t>
      </w:r>
      <w:r w:rsidR="00AF4233" w:rsidRPr="00AF4233">
        <w:rPr>
          <w:rFonts w:ascii="Arial Narrow" w:hAnsi="Arial Narrow"/>
          <w:b/>
          <w:sz w:val="24"/>
          <w:szCs w:val="24"/>
          <w:lang w:val="fr-CA"/>
        </w:rPr>
        <w:t>diffusion</w:t>
      </w:r>
      <w:r w:rsidRPr="00AF4233">
        <w:rPr>
          <w:rFonts w:ascii="Arial Narrow" w:hAnsi="Arial Narrow"/>
          <w:b/>
          <w:sz w:val="24"/>
          <w:szCs w:val="24"/>
          <w:lang w:val="fr-CA"/>
        </w:rPr>
        <w:t xml:space="preserve"> immédiate</w:t>
      </w:r>
    </w:p>
    <w:p w14:paraId="51E9BC0D" w14:textId="77777777" w:rsidR="00AA7AA1" w:rsidRPr="00AF4233" w:rsidRDefault="00AA7AA1" w:rsidP="00102306">
      <w:pPr>
        <w:spacing w:after="0"/>
        <w:rPr>
          <w:rFonts w:ascii="Arial Narrow" w:hAnsi="Arial Narrow"/>
          <w:sz w:val="24"/>
          <w:szCs w:val="24"/>
          <w:lang w:val="fr-CA"/>
        </w:rPr>
      </w:pPr>
    </w:p>
    <w:p w14:paraId="0EE023E1" w14:textId="77777777" w:rsidR="00AA7AA1" w:rsidRPr="00AF4233" w:rsidRDefault="00AA7AA1" w:rsidP="00102306">
      <w:pPr>
        <w:spacing w:after="0"/>
        <w:rPr>
          <w:rFonts w:ascii="Arial Narrow" w:hAnsi="Arial Narrow"/>
          <w:sz w:val="24"/>
          <w:szCs w:val="24"/>
          <w:lang w:val="fr-CA"/>
        </w:rPr>
      </w:pPr>
    </w:p>
    <w:p w14:paraId="47CD2A75" w14:textId="467DB202" w:rsidR="00AA7AA1" w:rsidRPr="00AF4233" w:rsidRDefault="007E5D23" w:rsidP="00102306">
      <w:pPr>
        <w:spacing w:after="0"/>
        <w:jc w:val="center"/>
        <w:rPr>
          <w:rFonts w:ascii="Arial Narrow" w:hAnsi="Arial Narrow"/>
          <w:b/>
          <w:sz w:val="28"/>
          <w:szCs w:val="24"/>
          <w:lang w:val="fr-CA"/>
        </w:rPr>
      </w:pPr>
      <w:r w:rsidRPr="00AF4233">
        <w:rPr>
          <w:rFonts w:ascii="Arial Narrow" w:hAnsi="Arial Narrow"/>
          <w:b/>
          <w:sz w:val="28"/>
          <w:szCs w:val="24"/>
          <w:lang w:val="fr-CA"/>
        </w:rPr>
        <w:t>L</w:t>
      </w:r>
      <w:r w:rsidR="003164E8">
        <w:rPr>
          <w:rFonts w:ascii="Arial Narrow" w:hAnsi="Arial Narrow"/>
          <w:b/>
          <w:sz w:val="28"/>
          <w:szCs w:val="24"/>
          <w:lang w:val="fr-CA"/>
        </w:rPr>
        <w:t>’</w:t>
      </w:r>
      <w:r w:rsidRPr="00AF4233">
        <w:rPr>
          <w:rFonts w:ascii="Arial Narrow" w:hAnsi="Arial Narrow"/>
          <w:b/>
          <w:sz w:val="28"/>
          <w:szCs w:val="24"/>
          <w:lang w:val="fr-CA"/>
        </w:rPr>
        <w:t>approbation de l</w:t>
      </w:r>
      <w:r w:rsidR="003164E8">
        <w:rPr>
          <w:rFonts w:ascii="Arial Narrow" w:hAnsi="Arial Narrow"/>
          <w:b/>
          <w:sz w:val="28"/>
          <w:szCs w:val="24"/>
          <w:lang w:val="fr-CA"/>
        </w:rPr>
        <w:t>’</w:t>
      </w:r>
      <w:r w:rsidR="00AA7AA1" w:rsidRPr="00AF4233">
        <w:rPr>
          <w:rFonts w:ascii="Arial Narrow" w:hAnsi="Arial Narrow"/>
          <w:b/>
          <w:sz w:val="28"/>
          <w:szCs w:val="24"/>
          <w:lang w:val="fr-CA"/>
        </w:rPr>
        <w:t>aducanumab</w:t>
      </w:r>
      <w:r w:rsidRPr="00AF4233">
        <w:rPr>
          <w:rFonts w:ascii="Arial Narrow" w:hAnsi="Arial Narrow"/>
          <w:b/>
          <w:sz w:val="28"/>
          <w:szCs w:val="24"/>
          <w:lang w:val="fr-CA"/>
        </w:rPr>
        <w:t xml:space="preserve"> par la FDA déclenche des sonnettes d</w:t>
      </w:r>
      <w:r w:rsidR="003164E8">
        <w:rPr>
          <w:rFonts w:ascii="Arial Narrow" w:hAnsi="Arial Narrow"/>
          <w:b/>
          <w:sz w:val="28"/>
          <w:szCs w:val="24"/>
          <w:lang w:val="fr-CA"/>
        </w:rPr>
        <w:t>’</w:t>
      </w:r>
      <w:r w:rsidRPr="00AF4233">
        <w:rPr>
          <w:rFonts w:ascii="Arial Narrow" w:hAnsi="Arial Narrow"/>
          <w:b/>
          <w:sz w:val="28"/>
          <w:szCs w:val="24"/>
          <w:lang w:val="fr-CA"/>
        </w:rPr>
        <w:t>alarme</w:t>
      </w:r>
    </w:p>
    <w:p w14:paraId="24E29B6E" w14:textId="5609D7F3" w:rsidR="00102306" w:rsidRPr="00AF4233" w:rsidRDefault="007E5D23" w:rsidP="00102306">
      <w:pPr>
        <w:spacing w:after="0"/>
        <w:jc w:val="center"/>
        <w:rPr>
          <w:rFonts w:ascii="Arial Narrow" w:hAnsi="Arial Narrow"/>
          <w:b/>
          <w:sz w:val="28"/>
          <w:szCs w:val="24"/>
          <w:lang w:val="fr-CA"/>
        </w:rPr>
      </w:pPr>
      <w:r w:rsidRPr="00AF4233">
        <w:rPr>
          <w:rFonts w:ascii="Arial Narrow" w:hAnsi="Arial Narrow"/>
          <w:b/>
          <w:sz w:val="28"/>
          <w:szCs w:val="24"/>
          <w:lang w:val="fr-CA"/>
        </w:rPr>
        <w:t>Santé Canada doit s</w:t>
      </w:r>
      <w:r w:rsidR="003164E8">
        <w:rPr>
          <w:rFonts w:ascii="Arial Narrow" w:hAnsi="Arial Narrow"/>
          <w:b/>
          <w:sz w:val="28"/>
          <w:szCs w:val="24"/>
          <w:lang w:val="fr-CA"/>
        </w:rPr>
        <w:t>’</w:t>
      </w:r>
      <w:r w:rsidRPr="00AF4233">
        <w:rPr>
          <w:rFonts w:ascii="Arial Narrow" w:hAnsi="Arial Narrow"/>
          <w:b/>
          <w:sz w:val="28"/>
          <w:szCs w:val="24"/>
          <w:lang w:val="fr-CA"/>
        </w:rPr>
        <w:t>en tenir à la science</w:t>
      </w:r>
    </w:p>
    <w:p w14:paraId="24718508" w14:textId="0926B038" w:rsidR="00AA7AA1" w:rsidRPr="00AF4233" w:rsidRDefault="00AA7AA1" w:rsidP="00102306">
      <w:pPr>
        <w:spacing w:after="0"/>
        <w:rPr>
          <w:rFonts w:ascii="Arial Narrow" w:hAnsi="Arial Narrow"/>
          <w:sz w:val="24"/>
          <w:szCs w:val="24"/>
          <w:lang w:val="fr-CA"/>
        </w:rPr>
      </w:pPr>
    </w:p>
    <w:p w14:paraId="2C4317A2" w14:textId="77777777" w:rsidR="007451F3" w:rsidRPr="00AF4233" w:rsidRDefault="007451F3" w:rsidP="00102306">
      <w:pPr>
        <w:spacing w:after="0"/>
        <w:rPr>
          <w:rFonts w:ascii="Arial Narrow" w:hAnsi="Arial Narrow"/>
          <w:sz w:val="24"/>
          <w:szCs w:val="24"/>
          <w:lang w:val="fr-CA"/>
        </w:rPr>
      </w:pPr>
    </w:p>
    <w:p w14:paraId="320954FB" w14:textId="764E6FDF" w:rsidR="00AA7AA1" w:rsidRPr="00AF4233" w:rsidRDefault="00AF4233" w:rsidP="00102306">
      <w:pPr>
        <w:spacing w:line="240" w:lineRule="auto"/>
        <w:rPr>
          <w:rFonts w:ascii="Arial Narrow" w:hAnsi="Arial Narrow"/>
          <w:sz w:val="24"/>
          <w:szCs w:val="24"/>
          <w:lang w:val="fr-CA"/>
        </w:rPr>
      </w:pPr>
      <w:r w:rsidRPr="00AF4233">
        <w:rPr>
          <w:rFonts w:ascii="Arial Narrow" w:hAnsi="Arial Narrow"/>
          <w:b/>
          <w:sz w:val="24"/>
          <w:szCs w:val="24"/>
          <w:lang w:val="fr-CA"/>
        </w:rPr>
        <w:t xml:space="preserve">Montréal, le </w:t>
      </w:r>
      <w:r w:rsidR="004243B3">
        <w:rPr>
          <w:rFonts w:ascii="Arial Narrow" w:hAnsi="Arial Narrow"/>
          <w:b/>
          <w:sz w:val="24"/>
          <w:szCs w:val="24"/>
          <w:lang w:val="fr-CA"/>
        </w:rPr>
        <w:t>12</w:t>
      </w:r>
      <w:r w:rsidRPr="00AF4233">
        <w:rPr>
          <w:rFonts w:ascii="Arial Narrow" w:hAnsi="Arial Narrow"/>
          <w:b/>
          <w:sz w:val="24"/>
          <w:szCs w:val="24"/>
          <w:lang w:val="fr-CA"/>
        </w:rPr>
        <w:t xml:space="preserve"> août 2021 –</w:t>
      </w:r>
      <w:r w:rsidRPr="00AF4233">
        <w:rPr>
          <w:rFonts w:ascii="Arial Narrow" w:hAnsi="Arial Narrow"/>
          <w:sz w:val="24"/>
          <w:szCs w:val="24"/>
          <w:lang w:val="fr-CA"/>
        </w:rPr>
        <w:t xml:space="preserve"> Les chercheurs et les cliniciens de six organisations canadiennes clés œuvrant da</w:t>
      </w:r>
      <w:r w:rsidR="005B0259">
        <w:rPr>
          <w:rFonts w:ascii="Arial Narrow" w:hAnsi="Arial Narrow"/>
          <w:sz w:val="24"/>
          <w:szCs w:val="24"/>
          <w:lang w:val="fr-CA"/>
        </w:rPr>
        <w:t xml:space="preserve">ns le domaine de la recherche </w:t>
      </w:r>
      <w:r w:rsidR="0022608C">
        <w:rPr>
          <w:rFonts w:ascii="Arial Narrow" w:hAnsi="Arial Narrow"/>
          <w:sz w:val="24"/>
          <w:szCs w:val="24"/>
          <w:lang w:val="fr-CA"/>
        </w:rPr>
        <w:t xml:space="preserve">sur </w:t>
      </w:r>
      <w:r w:rsidRPr="00AF4233">
        <w:rPr>
          <w:rFonts w:ascii="Arial Narrow" w:hAnsi="Arial Narrow"/>
          <w:sz w:val="24"/>
          <w:szCs w:val="24"/>
          <w:lang w:val="fr-CA"/>
        </w:rPr>
        <w:t>la démence et ses soins en sont venus à la conclusion que l</w:t>
      </w:r>
      <w:r w:rsidR="003164E8">
        <w:rPr>
          <w:rFonts w:ascii="Arial Narrow" w:hAnsi="Arial Narrow"/>
          <w:sz w:val="24"/>
          <w:szCs w:val="24"/>
          <w:lang w:val="fr-CA"/>
        </w:rPr>
        <w:t>’</w:t>
      </w:r>
      <w:r w:rsidRPr="00AF4233">
        <w:rPr>
          <w:rFonts w:ascii="Arial Narrow" w:hAnsi="Arial Narrow"/>
          <w:sz w:val="24"/>
          <w:szCs w:val="24"/>
          <w:lang w:val="fr-CA"/>
        </w:rPr>
        <w:t>aducanumab, le médicament (ou traitement modificateur de la maladie) pour la maladie d</w:t>
      </w:r>
      <w:r w:rsidR="003164E8">
        <w:rPr>
          <w:rFonts w:ascii="Arial Narrow" w:hAnsi="Arial Narrow"/>
          <w:sz w:val="24"/>
          <w:szCs w:val="24"/>
          <w:lang w:val="fr-CA"/>
        </w:rPr>
        <w:t>’</w:t>
      </w:r>
      <w:r w:rsidRPr="00AF4233">
        <w:rPr>
          <w:rFonts w:ascii="Arial Narrow" w:hAnsi="Arial Narrow"/>
          <w:sz w:val="24"/>
          <w:szCs w:val="24"/>
          <w:lang w:val="fr-CA"/>
        </w:rPr>
        <w:t xml:space="preserve">Alzheimer </w:t>
      </w:r>
      <w:r w:rsidR="0022608C">
        <w:rPr>
          <w:rFonts w:ascii="Arial Narrow" w:hAnsi="Arial Narrow"/>
          <w:sz w:val="24"/>
          <w:szCs w:val="24"/>
          <w:lang w:val="fr-CA"/>
        </w:rPr>
        <w:t xml:space="preserve">(MA) </w:t>
      </w:r>
      <w:r w:rsidRPr="00AF4233">
        <w:rPr>
          <w:rFonts w:ascii="Arial Narrow" w:hAnsi="Arial Narrow"/>
          <w:sz w:val="24"/>
          <w:szCs w:val="24"/>
          <w:lang w:val="fr-CA"/>
        </w:rPr>
        <w:t>approuvé dernièrement, sous conditions, par la FDA et en cours d</w:t>
      </w:r>
      <w:r w:rsidR="003164E8">
        <w:rPr>
          <w:rFonts w:ascii="Arial Narrow" w:hAnsi="Arial Narrow"/>
          <w:sz w:val="24"/>
          <w:szCs w:val="24"/>
          <w:lang w:val="fr-CA"/>
        </w:rPr>
        <w:t>’</w:t>
      </w:r>
      <w:r w:rsidRPr="00AF4233">
        <w:rPr>
          <w:rFonts w:ascii="Arial Narrow" w:hAnsi="Arial Narrow"/>
          <w:sz w:val="24"/>
          <w:szCs w:val="24"/>
          <w:lang w:val="fr-CA"/>
        </w:rPr>
        <w:t xml:space="preserve">évaluation par Santé Canada, requiert des tests supplémentaires avant approbation </w:t>
      </w:r>
      <w:r>
        <w:rPr>
          <w:rFonts w:ascii="Arial Narrow" w:hAnsi="Arial Narrow"/>
          <w:sz w:val="24"/>
          <w:szCs w:val="24"/>
          <w:lang w:val="fr-CA"/>
        </w:rPr>
        <w:t>et utilisation généralisée chez</w:t>
      </w:r>
      <w:r w:rsidRPr="00AF4233">
        <w:rPr>
          <w:rFonts w:ascii="Arial Narrow" w:hAnsi="Arial Narrow"/>
          <w:sz w:val="24"/>
          <w:szCs w:val="24"/>
          <w:lang w:val="fr-CA"/>
        </w:rPr>
        <w:t xml:space="preserve"> l</w:t>
      </w:r>
      <w:r w:rsidR="00562D90">
        <w:rPr>
          <w:rFonts w:ascii="Arial Narrow" w:hAnsi="Arial Narrow"/>
          <w:sz w:val="24"/>
          <w:szCs w:val="24"/>
          <w:lang w:val="fr-CA"/>
        </w:rPr>
        <w:t>es</w:t>
      </w:r>
      <w:r w:rsidRPr="00AF4233">
        <w:rPr>
          <w:rFonts w:ascii="Arial Narrow" w:hAnsi="Arial Narrow"/>
          <w:sz w:val="24"/>
          <w:szCs w:val="24"/>
          <w:lang w:val="fr-CA"/>
        </w:rPr>
        <w:t xml:space="preserve"> patients atteints de MA au Canada. </w:t>
      </w:r>
      <w:r w:rsidR="007E5D23" w:rsidRPr="00AF4233">
        <w:rPr>
          <w:rFonts w:ascii="Arial Narrow" w:hAnsi="Arial Narrow"/>
          <w:sz w:val="24"/>
          <w:szCs w:val="24"/>
          <w:lang w:val="fr-CA"/>
        </w:rPr>
        <w:t>C</w:t>
      </w:r>
      <w:r w:rsidR="007D6F5D" w:rsidRPr="00AF4233">
        <w:rPr>
          <w:rFonts w:ascii="Arial Narrow" w:hAnsi="Arial Narrow"/>
          <w:sz w:val="24"/>
          <w:szCs w:val="24"/>
          <w:lang w:val="fr-CA"/>
        </w:rPr>
        <w:t>e</w:t>
      </w:r>
      <w:r w:rsidR="007E5D23" w:rsidRPr="00AF4233">
        <w:rPr>
          <w:rFonts w:ascii="Arial Narrow" w:hAnsi="Arial Narrow"/>
          <w:sz w:val="24"/>
          <w:szCs w:val="24"/>
          <w:lang w:val="fr-CA"/>
        </w:rPr>
        <w:t xml:space="preserve"> groupe de professionnels éminents en recherche sur la santé ont produit une prise de position qui a</w:t>
      </w:r>
      <w:r w:rsidR="007D6F5D" w:rsidRPr="00AF4233">
        <w:rPr>
          <w:rFonts w:ascii="Arial Narrow" w:hAnsi="Arial Narrow"/>
          <w:sz w:val="24"/>
          <w:szCs w:val="24"/>
          <w:lang w:val="fr-CA"/>
        </w:rPr>
        <w:t xml:space="preserve"> </w:t>
      </w:r>
      <w:r w:rsidR="007E5D23" w:rsidRPr="00AF4233">
        <w:rPr>
          <w:rFonts w:ascii="Arial Narrow" w:hAnsi="Arial Narrow"/>
          <w:sz w:val="24"/>
          <w:szCs w:val="24"/>
          <w:lang w:val="fr-CA"/>
        </w:rPr>
        <w:t>été présentée à Santé Canada</w:t>
      </w:r>
      <w:r w:rsidR="007D6F5D" w:rsidRPr="00AF4233">
        <w:rPr>
          <w:rFonts w:ascii="Arial Narrow" w:hAnsi="Arial Narrow"/>
          <w:sz w:val="24"/>
          <w:szCs w:val="24"/>
          <w:lang w:val="fr-CA"/>
        </w:rPr>
        <w:t xml:space="preserve"> et aux autres entités de </w:t>
      </w:r>
      <w:r w:rsidRPr="00AF4233">
        <w:rPr>
          <w:rFonts w:ascii="Arial Narrow" w:hAnsi="Arial Narrow"/>
          <w:sz w:val="24"/>
          <w:szCs w:val="24"/>
          <w:lang w:val="fr-CA"/>
        </w:rPr>
        <w:t>réglementation</w:t>
      </w:r>
      <w:r w:rsidR="007D6F5D" w:rsidRPr="00AF4233">
        <w:rPr>
          <w:rFonts w:ascii="Arial Narrow" w:hAnsi="Arial Narrow"/>
          <w:sz w:val="24"/>
          <w:szCs w:val="24"/>
          <w:lang w:val="fr-CA"/>
        </w:rPr>
        <w:t xml:space="preserve"> canadiennes, et qui a été rendue publique. Ils ont également offert de former un comité de travail qui fournirait des </w:t>
      </w:r>
      <w:r w:rsidRPr="00AF4233">
        <w:rPr>
          <w:rFonts w:ascii="Arial Narrow" w:hAnsi="Arial Narrow"/>
          <w:sz w:val="24"/>
          <w:szCs w:val="24"/>
          <w:lang w:val="fr-CA"/>
        </w:rPr>
        <w:t>orientations</w:t>
      </w:r>
      <w:r w:rsidR="007D6F5D" w:rsidRPr="00AF4233">
        <w:rPr>
          <w:rFonts w:ascii="Arial Narrow" w:hAnsi="Arial Narrow"/>
          <w:sz w:val="24"/>
          <w:szCs w:val="24"/>
          <w:lang w:val="fr-CA"/>
        </w:rPr>
        <w:t xml:space="preserve"> et des conseils à Santé Canada au sujet de l</w:t>
      </w:r>
      <w:r w:rsidR="003164E8">
        <w:rPr>
          <w:rFonts w:ascii="Arial Narrow" w:hAnsi="Arial Narrow"/>
          <w:sz w:val="24"/>
          <w:szCs w:val="24"/>
          <w:lang w:val="fr-CA"/>
        </w:rPr>
        <w:t>’</w:t>
      </w:r>
      <w:r w:rsidR="007D6F5D" w:rsidRPr="00AF4233">
        <w:rPr>
          <w:rFonts w:ascii="Arial Narrow" w:hAnsi="Arial Narrow"/>
          <w:sz w:val="24"/>
          <w:szCs w:val="24"/>
          <w:lang w:val="fr-CA"/>
        </w:rPr>
        <w:t>approbation de tout</w:t>
      </w:r>
      <w:r w:rsidR="005B0259">
        <w:rPr>
          <w:rFonts w:ascii="Arial Narrow" w:hAnsi="Arial Narrow"/>
          <w:sz w:val="24"/>
          <w:szCs w:val="24"/>
          <w:lang w:val="fr-CA"/>
        </w:rPr>
        <w:t xml:space="preserve"> médicament ou</w:t>
      </w:r>
      <w:r w:rsidR="007D6F5D" w:rsidRPr="00AF4233">
        <w:rPr>
          <w:rFonts w:ascii="Arial Narrow" w:hAnsi="Arial Narrow"/>
          <w:sz w:val="24"/>
          <w:szCs w:val="24"/>
          <w:lang w:val="fr-CA"/>
        </w:rPr>
        <w:t xml:space="preserve"> traitement </w:t>
      </w:r>
      <w:r w:rsidRPr="00AF4233">
        <w:rPr>
          <w:rFonts w:ascii="Arial Narrow" w:hAnsi="Arial Narrow"/>
          <w:sz w:val="24"/>
          <w:szCs w:val="24"/>
          <w:lang w:val="fr-CA"/>
        </w:rPr>
        <w:t>modificateur</w:t>
      </w:r>
      <w:r w:rsidR="007D6F5D" w:rsidRPr="00AF4233">
        <w:rPr>
          <w:rFonts w:ascii="Arial Narrow" w:hAnsi="Arial Narrow"/>
          <w:sz w:val="24"/>
          <w:szCs w:val="24"/>
          <w:lang w:val="fr-CA"/>
        </w:rPr>
        <w:t xml:space="preserve"> de la maladie pour les troubles neurocognitifs</w:t>
      </w:r>
      <w:r w:rsidR="003C475D" w:rsidRPr="00AF4233">
        <w:rPr>
          <w:rFonts w:ascii="Arial Narrow" w:hAnsi="Arial Narrow" w:cs="Arial"/>
          <w:bCs/>
          <w:sz w:val="24"/>
          <w:szCs w:val="24"/>
          <w:lang w:val="fr-CA"/>
        </w:rPr>
        <w:t>.</w:t>
      </w:r>
    </w:p>
    <w:p w14:paraId="0D933F24" w14:textId="4E479BE0" w:rsidR="0065517E" w:rsidRPr="00AF4233" w:rsidRDefault="007D6F5D" w:rsidP="0065517E">
      <w:pPr>
        <w:spacing w:line="240" w:lineRule="auto"/>
        <w:rPr>
          <w:rFonts w:ascii="Arial Narrow" w:hAnsi="Arial Narrow" w:cs="Arial"/>
          <w:bCs/>
          <w:sz w:val="24"/>
          <w:szCs w:val="24"/>
          <w:lang w:val="fr-CA"/>
        </w:rPr>
      </w:pPr>
      <w:r w:rsidRPr="00AF4233">
        <w:rPr>
          <w:rFonts w:ascii="Arial Narrow" w:hAnsi="Arial Narrow" w:cs="Arial"/>
          <w:bCs/>
          <w:sz w:val="24"/>
          <w:szCs w:val="24"/>
          <w:lang w:val="fr-CA"/>
        </w:rPr>
        <w:t>La maladie d</w:t>
      </w:r>
      <w:r w:rsidR="003164E8">
        <w:rPr>
          <w:rFonts w:ascii="Arial Narrow" w:hAnsi="Arial Narrow" w:cs="Arial"/>
          <w:bCs/>
          <w:sz w:val="24"/>
          <w:szCs w:val="24"/>
          <w:lang w:val="fr-CA"/>
        </w:rPr>
        <w:t>’</w:t>
      </w:r>
      <w:r w:rsidRPr="00AF4233">
        <w:rPr>
          <w:rFonts w:ascii="Arial Narrow" w:hAnsi="Arial Narrow" w:cs="Arial"/>
          <w:bCs/>
          <w:sz w:val="24"/>
          <w:szCs w:val="24"/>
          <w:lang w:val="fr-CA"/>
        </w:rPr>
        <w:t>Alzheimer, l</w:t>
      </w:r>
      <w:r w:rsidR="003164E8">
        <w:rPr>
          <w:rFonts w:ascii="Arial Narrow" w:hAnsi="Arial Narrow" w:cs="Arial"/>
          <w:bCs/>
          <w:sz w:val="24"/>
          <w:szCs w:val="24"/>
          <w:lang w:val="fr-CA"/>
        </w:rPr>
        <w:t>’</w:t>
      </w:r>
      <w:r w:rsidRPr="00AF4233">
        <w:rPr>
          <w:rFonts w:ascii="Arial Narrow" w:hAnsi="Arial Narrow" w:cs="Arial"/>
          <w:bCs/>
          <w:sz w:val="24"/>
          <w:szCs w:val="24"/>
          <w:lang w:val="fr-CA"/>
        </w:rPr>
        <w:t xml:space="preserve">une des nombreuses causes de démence, touche </w:t>
      </w:r>
      <w:r w:rsidR="005B0259">
        <w:rPr>
          <w:rFonts w:ascii="Arial Narrow" w:hAnsi="Arial Narrow" w:cs="Arial"/>
          <w:bCs/>
          <w:sz w:val="24"/>
          <w:szCs w:val="24"/>
          <w:lang w:val="fr-CA"/>
        </w:rPr>
        <w:t>plus de 650 000 Canadiens et l</w:t>
      </w:r>
      <w:r w:rsidRPr="00AF4233">
        <w:rPr>
          <w:rFonts w:ascii="Arial Narrow" w:hAnsi="Arial Narrow" w:cs="Arial"/>
          <w:bCs/>
          <w:sz w:val="24"/>
          <w:szCs w:val="24"/>
          <w:lang w:val="fr-CA"/>
        </w:rPr>
        <w:t>e nombre</w:t>
      </w:r>
      <w:r w:rsidR="005B0259">
        <w:rPr>
          <w:rFonts w:ascii="Arial Narrow" w:hAnsi="Arial Narrow" w:cs="Arial"/>
          <w:bCs/>
          <w:sz w:val="24"/>
          <w:szCs w:val="24"/>
          <w:lang w:val="fr-CA"/>
        </w:rPr>
        <w:t xml:space="preserve"> devrait</w:t>
      </w:r>
      <w:r w:rsidRPr="00AF4233">
        <w:rPr>
          <w:rFonts w:ascii="Arial Narrow" w:hAnsi="Arial Narrow" w:cs="Arial"/>
          <w:bCs/>
          <w:sz w:val="24"/>
          <w:szCs w:val="24"/>
          <w:lang w:val="fr-CA"/>
        </w:rPr>
        <w:t xml:space="preserve"> double</w:t>
      </w:r>
      <w:r w:rsidR="005B0259">
        <w:rPr>
          <w:rFonts w:ascii="Arial Narrow" w:hAnsi="Arial Narrow" w:cs="Arial"/>
          <w:bCs/>
          <w:sz w:val="24"/>
          <w:szCs w:val="24"/>
          <w:lang w:val="fr-CA"/>
        </w:rPr>
        <w:t>r</w:t>
      </w:r>
      <w:r w:rsidRPr="00AF4233">
        <w:rPr>
          <w:rFonts w:ascii="Arial Narrow" w:hAnsi="Arial Narrow" w:cs="Arial"/>
          <w:bCs/>
          <w:sz w:val="24"/>
          <w:szCs w:val="24"/>
          <w:lang w:val="fr-CA"/>
        </w:rPr>
        <w:t xml:space="preserve"> au cours des dix prochaines années. </w:t>
      </w:r>
      <w:r w:rsidR="0022608C">
        <w:rPr>
          <w:rFonts w:ascii="Arial Narrow" w:hAnsi="Arial Narrow" w:cs="Arial"/>
          <w:bCs/>
          <w:sz w:val="24"/>
          <w:szCs w:val="24"/>
          <w:lang w:val="fr-CA"/>
        </w:rPr>
        <w:t xml:space="preserve">On estime que le </w:t>
      </w:r>
      <w:r w:rsidRPr="00AF4233">
        <w:rPr>
          <w:rFonts w:ascii="Arial Narrow" w:hAnsi="Arial Narrow" w:cs="Arial"/>
          <w:bCs/>
          <w:sz w:val="24"/>
          <w:szCs w:val="24"/>
          <w:lang w:val="fr-CA"/>
        </w:rPr>
        <w:t xml:space="preserve">coût annuel </w:t>
      </w:r>
      <w:r w:rsidR="00D93438">
        <w:rPr>
          <w:rFonts w:ascii="Arial Narrow" w:hAnsi="Arial Narrow" w:cs="Arial"/>
          <w:bCs/>
          <w:sz w:val="24"/>
          <w:szCs w:val="24"/>
          <w:lang w:val="fr-CA"/>
        </w:rPr>
        <w:t>des</w:t>
      </w:r>
      <w:r w:rsidRPr="00AF4233">
        <w:rPr>
          <w:rFonts w:ascii="Arial Narrow" w:hAnsi="Arial Narrow" w:cs="Arial"/>
          <w:bCs/>
          <w:sz w:val="24"/>
          <w:szCs w:val="24"/>
          <w:lang w:val="fr-CA"/>
        </w:rPr>
        <w:t xml:space="preserve"> soins de la </w:t>
      </w:r>
      <w:r w:rsidR="00AF4233" w:rsidRPr="00AF4233">
        <w:rPr>
          <w:rFonts w:ascii="Arial Narrow" w:hAnsi="Arial Narrow" w:cs="Arial"/>
          <w:bCs/>
          <w:sz w:val="24"/>
          <w:szCs w:val="24"/>
          <w:lang w:val="fr-CA"/>
        </w:rPr>
        <w:t>démence</w:t>
      </w:r>
      <w:r w:rsidRPr="00AF4233">
        <w:rPr>
          <w:rFonts w:ascii="Arial Narrow" w:hAnsi="Arial Narrow" w:cs="Arial"/>
          <w:bCs/>
          <w:sz w:val="24"/>
          <w:szCs w:val="24"/>
          <w:lang w:val="fr-CA"/>
        </w:rPr>
        <w:t xml:space="preserve"> </w:t>
      </w:r>
      <w:r w:rsidR="0022608C">
        <w:rPr>
          <w:rFonts w:ascii="Arial Narrow" w:hAnsi="Arial Narrow" w:cs="Arial"/>
          <w:bCs/>
          <w:sz w:val="24"/>
          <w:szCs w:val="24"/>
          <w:lang w:val="fr-CA"/>
        </w:rPr>
        <w:t xml:space="preserve">se chiffre entre </w:t>
      </w:r>
      <w:r w:rsidRPr="00AF4233">
        <w:rPr>
          <w:rFonts w:ascii="Arial Narrow" w:hAnsi="Arial Narrow" w:cs="Arial"/>
          <w:bCs/>
          <w:sz w:val="24"/>
          <w:szCs w:val="24"/>
          <w:lang w:val="fr-CA"/>
        </w:rPr>
        <w:t xml:space="preserve">10 </w:t>
      </w:r>
      <w:r w:rsidR="0022608C">
        <w:rPr>
          <w:rFonts w:ascii="Arial Narrow" w:hAnsi="Arial Narrow" w:cs="Arial"/>
          <w:bCs/>
          <w:sz w:val="24"/>
          <w:szCs w:val="24"/>
          <w:lang w:val="fr-CA"/>
        </w:rPr>
        <w:t>et</w:t>
      </w:r>
      <w:r w:rsidRPr="00AF4233">
        <w:rPr>
          <w:rFonts w:ascii="Arial Narrow" w:hAnsi="Arial Narrow" w:cs="Arial"/>
          <w:bCs/>
          <w:sz w:val="24"/>
          <w:szCs w:val="24"/>
          <w:lang w:val="fr-CA"/>
        </w:rPr>
        <w:t xml:space="preserve"> 12 milliards </w:t>
      </w:r>
      <w:r w:rsidR="005B0259">
        <w:rPr>
          <w:rFonts w:ascii="Arial Narrow" w:hAnsi="Arial Narrow" w:cs="Arial"/>
          <w:bCs/>
          <w:sz w:val="24"/>
          <w:szCs w:val="24"/>
          <w:lang w:val="fr-CA"/>
        </w:rPr>
        <w:t xml:space="preserve">de dollars au Canada. Les personnes atteintes </w:t>
      </w:r>
      <w:r w:rsidRPr="00AF4233">
        <w:rPr>
          <w:rFonts w:ascii="Arial Narrow" w:hAnsi="Arial Narrow" w:cs="Arial"/>
          <w:bCs/>
          <w:sz w:val="24"/>
          <w:szCs w:val="24"/>
          <w:lang w:val="fr-CA"/>
        </w:rPr>
        <w:t xml:space="preserve">de la </w:t>
      </w:r>
      <w:r w:rsidR="004243B3">
        <w:rPr>
          <w:rFonts w:ascii="Arial Narrow" w:hAnsi="Arial Narrow" w:cs="Arial"/>
          <w:bCs/>
          <w:sz w:val="24"/>
          <w:szCs w:val="24"/>
          <w:lang w:val="fr-CA"/>
        </w:rPr>
        <w:t>MA</w:t>
      </w:r>
      <w:r w:rsidRPr="00AF4233">
        <w:rPr>
          <w:rFonts w:ascii="Arial Narrow" w:hAnsi="Arial Narrow" w:cs="Arial"/>
          <w:bCs/>
          <w:sz w:val="24"/>
          <w:szCs w:val="24"/>
          <w:lang w:val="fr-CA"/>
        </w:rPr>
        <w:t xml:space="preserve"> présentent l</w:t>
      </w:r>
      <w:r w:rsidR="003164E8">
        <w:rPr>
          <w:rFonts w:ascii="Arial Narrow" w:hAnsi="Arial Narrow" w:cs="Arial"/>
          <w:bCs/>
          <w:sz w:val="24"/>
          <w:szCs w:val="24"/>
          <w:lang w:val="fr-CA"/>
        </w:rPr>
        <w:t>’</w:t>
      </w:r>
      <w:r w:rsidR="00AF4233" w:rsidRPr="00AF4233">
        <w:rPr>
          <w:rFonts w:ascii="Arial Narrow" w:hAnsi="Arial Narrow" w:cs="Arial"/>
          <w:bCs/>
          <w:sz w:val="24"/>
          <w:szCs w:val="24"/>
          <w:lang w:val="fr-CA"/>
        </w:rPr>
        <w:t>augmentation</w:t>
      </w:r>
      <w:r w:rsidRPr="00AF4233">
        <w:rPr>
          <w:rFonts w:ascii="Arial Narrow" w:hAnsi="Arial Narrow" w:cs="Arial"/>
          <w:bCs/>
          <w:sz w:val="24"/>
          <w:szCs w:val="24"/>
          <w:lang w:val="fr-CA"/>
        </w:rPr>
        <w:t xml:space="preserve"> d</w:t>
      </w:r>
      <w:r w:rsidR="003164E8">
        <w:rPr>
          <w:rFonts w:ascii="Arial Narrow" w:hAnsi="Arial Narrow" w:cs="Arial"/>
          <w:bCs/>
          <w:sz w:val="24"/>
          <w:szCs w:val="24"/>
          <w:lang w:val="fr-CA"/>
        </w:rPr>
        <w:t>’</w:t>
      </w:r>
      <w:r w:rsidRPr="00AF4233">
        <w:rPr>
          <w:rFonts w:ascii="Arial Narrow" w:hAnsi="Arial Narrow" w:cs="Arial"/>
          <w:bCs/>
          <w:sz w:val="24"/>
          <w:szCs w:val="24"/>
          <w:lang w:val="fr-CA"/>
        </w:rPr>
        <w:t xml:space="preserve">une protéine </w:t>
      </w:r>
      <w:r w:rsidR="00AF4233" w:rsidRPr="00AF4233">
        <w:rPr>
          <w:rFonts w:ascii="Arial Narrow" w:hAnsi="Arial Narrow" w:cs="Arial"/>
          <w:bCs/>
          <w:sz w:val="24"/>
          <w:szCs w:val="24"/>
          <w:lang w:val="fr-CA"/>
        </w:rPr>
        <w:t>appelée</w:t>
      </w:r>
      <w:r w:rsidRPr="00AF4233">
        <w:rPr>
          <w:rFonts w:ascii="Arial Narrow" w:hAnsi="Arial Narrow" w:cs="Arial"/>
          <w:bCs/>
          <w:sz w:val="24"/>
          <w:szCs w:val="24"/>
          <w:lang w:val="fr-CA"/>
        </w:rPr>
        <w:t xml:space="preserve"> amyloïde dans le cerveau. L</w:t>
      </w:r>
      <w:r w:rsidR="003164E8">
        <w:rPr>
          <w:rFonts w:ascii="Arial Narrow" w:hAnsi="Arial Narrow" w:cs="Arial"/>
          <w:bCs/>
          <w:sz w:val="24"/>
          <w:szCs w:val="24"/>
          <w:lang w:val="fr-CA"/>
        </w:rPr>
        <w:t>’</w:t>
      </w:r>
      <w:r w:rsidRPr="00AF4233">
        <w:rPr>
          <w:rFonts w:ascii="Arial Narrow" w:hAnsi="Arial Narrow" w:cs="Arial"/>
          <w:bCs/>
          <w:sz w:val="24"/>
          <w:szCs w:val="24"/>
          <w:lang w:val="fr-CA"/>
        </w:rPr>
        <w:t>aducanumab est un médicament anti-amyloïde. Cependant, la présence d</w:t>
      </w:r>
      <w:r w:rsidR="003164E8">
        <w:rPr>
          <w:rFonts w:ascii="Arial Narrow" w:hAnsi="Arial Narrow" w:cs="Arial"/>
          <w:bCs/>
          <w:sz w:val="24"/>
          <w:szCs w:val="24"/>
          <w:lang w:val="fr-CA"/>
        </w:rPr>
        <w:t>’</w:t>
      </w:r>
      <w:r w:rsidRPr="00AF4233">
        <w:rPr>
          <w:rFonts w:ascii="Arial Narrow" w:hAnsi="Arial Narrow" w:cs="Arial"/>
          <w:bCs/>
          <w:sz w:val="24"/>
          <w:szCs w:val="24"/>
          <w:lang w:val="fr-CA"/>
        </w:rPr>
        <w:t>amyloïdes dans le cerveau n</w:t>
      </w:r>
      <w:r w:rsidR="003164E8">
        <w:rPr>
          <w:rFonts w:ascii="Arial Narrow" w:hAnsi="Arial Narrow" w:cs="Arial"/>
          <w:bCs/>
          <w:sz w:val="24"/>
          <w:szCs w:val="24"/>
          <w:lang w:val="fr-CA"/>
        </w:rPr>
        <w:t>’</w:t>
      </w:r>
      <w:r w:rsidRPr="00AF4233">
        <w:rPr>
          <w:rFonts w:ascii="Arial Narrow" w:hAnsi="Arial Narrow" w:cs="Arial"/>
          <w:bCs/>
          <w:sz w:val="24"/>
          <w:szCs w:val="24"/>
          <w:lang w:val="fr-CA"/>
        </w:rPr>
        <w:t>est pas le seul facteur important de la MA et il n</w:t>
      </w:r>
      <w:r w:rsidR="003164E8">
        <w:rPr>
          <w:rFonts w:ascii="Arial Narrow" w:hAnsi="Arial Narrow" w:cs="Arial"/>
          <w:bCs/>
          <w:sz w:val="24"/>
          <w:szCs w:val="24"/>
          <w:lang w:val="fr-CA"/>
        </w:rPr>
        <w:t>’</w:t>
      </w:r>
      <w:r w:rsidRPr="00AF4233">
        <w:rPr>
          <w:rFonts w:ascii="Arial Narrow" w:hAnsi="Arial Narrow" w:cs="Arial"/>
          <w:bCs/>
          <w:sz w:val="24"/>
          <w:szCs w:val="24"/>
          <w:lang w:val="fr-CA"/>
        </w:rPr>
        <w:t>est pas clair que la réduction des amyloïdes mène à une régression de la démence.</w:t>
      </w:r>
    </w:p>
    <w:p w14:paraId="5A451A52" w14:textId="1A01BF86" w:rsidR="007E0E66" w:rsidRDefault="00EC2D84" w:rsidP="007E0E66">
      <w:pPr>
        <w:spacing w:line="240" w:lineRule="auto"/>
        <w:rPr>
          <w:rFonts w:ascii="Arial Narrow" w:hAnsi="Arial Narrow"/>
          <w:sz w:val="24"/>
          <w:szCs w:val="24"/>
          <w:lang w:val="fr-CA"/>
        </w:rPr>
      </w:pPr>
      <w:r w:rsidRPr="00AF4233">
        <w:rPr>
          <w:rFonts w:ascii="Arial Narrow" w:hAnsi="Arial Narrow"/>
          <w:sz w:val="24"/>
          <w:szCs w:val="24"/>
          <w:lang w:val="fr-CA"/>
        </w:rPr>
        <w:t>« En tant que chercheurs, nous nous consacrons tous à la découverte d</w:t>
      </w:r>
      <w:r w:rsidR="003164E8">
        <w:rPr>
          <w:rFonts w:ascii="Arial Narrow" w:hAnsi="Arial Narrow"/>
          <w:sz w:val="24"/>
          <w:szCs w:val="24"/>
          <w:lang w:val="fr-CA"/>
        </w:rPr>
        <w:t>’</w:t>
      </w:r>
      <w:r w:rsidRPr="00AF4233">
        <w:rPr>
          <w:rFonts w:ascii="Arial Narrow" w:hAnsi="Arial Narrow"/>
          <w:sz w:val="24"/>
          <w:szCs w:val="24"/>
          <w:lang w:val="fr-CA"/>
        </w:rPr>
        <w:t>un remède pour la maladie d</w:t>
      </w:r>
      <w:r w:rsidR="003164E8">
        <w:rPr>
          <w:rFonts w:ascii="Arial Narrow" w:hAnsi="Arial Narrow"/>
          <w:sz w:val="24"/>
          <w:szCs w:val="24"/>
          <w:lang w:val="fr-CA"/>
        </w:rPr>
        <w:t>’</w:t>
      </w:r>
      <w:r w:rsidRPr="00AF4233">
        <w:rPr>
          <w:rFonts w:ascii="Arial Narrow" w:hAnsi="Arial Narrow"/>
          <w:sz w:val="24"/>
          <w:szCs w:val="24"/>
          <w:lang w:val="fr-CA"/>
        </w:rPr>
        <w:t>Alzheimer et nous savons qu</w:t>
      </w:r>
      <w:r w:rsidR="003164E8">
        <w:rPr>
          <w:rFonts w:ascii="Arial Narrow" w:hAnsi="Arial Narrow"/>
          <w:sz w:val="24"/>
          <w:szCs w:val="24"/>
          <w:lang w:val="fr-CA"/>
        </w:rPr>
        <w:t>’</w:t>
      </w:r>
      <w:r w:rsidRPr="00AF4233">
        <w:rPr>
          <w:rFonts w:ascii="Arial Narrow" w:hAnsi="Arial Narrow"/>
          <w:sz w:val="24"/>
          <w:szCs w:val="24"/>
          <w:lang w:val="fr-CA"/>
        </w:rPr>
        <w:t>il n</w:t>
      </w:r>
      <w:r w:rsidR="003164E8">
        <w:rPr>
          <w:rFonts w:ascii="Arial Narrow" w:hAnsi="Arial Narrow"/>
          <w:sz w:val="24"/>
          <w:szCs w:val="24"/>
          <w:lang w:val="fr-CA"/>
        </w:rPr>
        <w:t>’</w:t>
      </w:r>
      <w:r w:rsidRPr="00AF4233">
        <w:rPr>
          <w:rFonts w:ascii="Arial Narrow" w:hAnsi="Arial Narrow"/>
          <w:sz w:val="24"/>
          <w:szCs w:val="24"/>
          <w:lang w:val="fr-CA"/>
        </w:rPr>
        <w:t>y a eu aucune percée en matière de traitement de la démence au cours des 20 dernière</w:t>
      </w:r>
      <w:r w:rsidR="00562D90">
        <w:rPr>
          <w:rFonts w:ascii="Arial Narrow" w:hAnsi="Arial Narrow"/>
          <w:sz w:val="24"/>
          <w:szCs w:val="24"/>
          <w:lang w:val="fr-CA"/>
        </w:rPr>
        <w:t>s</w:t>
      </w:r>
      <w:r w:rsidRPr="00AF4233">
        <w:rPr>
          <w:rFonts w:ascii="Arial Narrow" w:hAnsi="Arial Narrow"/>
          <w:sz w:val="24"/>
          <w:szCs w:val="24"/>
          <w:lang w:val="fr-CA"/>
        </w:rPr>
        <w:t xml:space="preserve"> années. » explique le Dr Howard Chertkow, directeur scientifique du Consortium canadien en neurodégénérescence associée au vieillissement. Le </w:t>
      </w:r>
      <w:r w:rsidR="00AF4233" w:rsidRPr="00AF4233">
        <w:rPr>
          <w:rFonts w:ascii="Arial Narrow" w:hAnsi="Arial Narrow"/>
          <w:sz w:val="24"/>
          <w:szCs w:val="24"/>
          <w:lang w:val="fr-CA"/>
        </w:rPr>
        <w:t>Dr Chertkow</w:t>
      </w:r>
      <w:r w:rsidRPr="00AF4233">
        <w:rPr>
          <w:rFonts w:ascii="Arial Narrow" w:hAnsi="Arial Narrow" w:cs="Arial"/>
          <w:sz w:val="24"/>
          <w:szCs w:val="24"/>
          <w:lang w:val="fr-CA"/>
        </w:rPr>
        <w:t xml:space="preserve"> ajoute </w:t>
      </w:r>
      <w:r w:rsidRPr="00AF4233">
        <w:rPr>
          <w:rFonts w:ascii="Arial Narrow" w:hAnsi="Arial Narrow"/>
          <w:sz w:val="24"/>
          <w:szCs w:val="24"/>
          <w:lang w:val="fr-CA"/>
        </w:rPr>
        <w:t>« Les patients et les groupes de défense de leurs intérêts ont aussitôt applaudi l</w:t>
      </w:r>
      <w:r w:rsidR="003164E8">
        <w:rPr>
          <w:rFonts w:ascii="Arial Narrow" w:hAnsi="Arial Narrow"/>
          <w:sz w:val="24"/>
          <w:szCs w:val="24"/>
          <w:lang w:val="fr-CA"/>
        </w:rPr>
        <w:t>’</w:t>
      </w:r>
      <w:r w:rsidRPr="00AF4233">
        <w:rPr>
          <w:rFonts w:ascii="Arial Narrow" w:hAnsi="Arial Narrow"/>
          <w:sz w:val="24"/>
          <w:szCs w:val="24"/>
          <w:lang w:val="fr-CA"/>
        </w:rPr>
        <w:t xml:space="preserve">approbation accélérée de ce médicament aux </w:t>
      </w:r>
      <w:r w:rsidR="00AF4233" w:rsidRPr="00AF4233">
        <w:rPr>
          <w:rFonts w:ascii="Arial Narrow" w:hAnsi="Arial Narrow"/>
          <w:sz w:val="24"/>
          <w:szCs w:val="24"/>
          <w:lang w:val="fr-CA"/>
        </w:rPr>
        <w:t>États-Unis</w:t>
      </w:r>
      <w:r w:rsidRPr="00AF4233">
        <w:rPr>
          <w:rFonts w:ascii="Arial Narrow" w:hAnsi="Arial Narrow"/>
          <w:sz w:val="24"/>
          <w:szCs w:val="24"/>
          <w:lang w:val="fr-CA"/>
        </w:rPr>
        <w:t>. C</w:t>
      </w:r>
      <w:r w:rsidR="003164E8">
        <w:rPr>
          <w:rFonts w:ascii="Arial Narrow" w:hAnsi="Arial Narrow"/>
          <w:sz w:val="24"/>
          <w:szCs w:val="24"/>
          <w:lang w:val="fr-CA"/>
        </w:rPr>
        <w:t>’</w:t>
      </w:r>
      <w:r w:rsidRPr="00AF4233">
        <w:rPr>
          <w:rFonts w:ascii="Arial Narrow" w:hAnsi="Arial Narrow"/>
          <w:sz w:val="24"/>
          <w:szCs w:val="24"/>
          <w:lang w:val="fr-CA"/>
        </w:rPr>
        <w:t>était la première lueur d</w:t>
      </w:r>
      <w:r w:rsidR="003164E8">
        <w:rPr>
          <w:rFonts w:ascii="Arial Narrow" w:hAnsi="Arial Narrow"/>
          <w:sz w:val="24"/>
          <w:szCs w:val="24"/>
          <w:lang w:val="fr-CA"/>
        </w:rPr>
        <w:t>’</w:t>
      </w:r>
      <w:r w:rsidRPr="00AF4233">
        <w:rPr>
          <w:rFonts w:ascii="Arial Narrow" w:hAnsi="Arial Narrow"/>
          <w:sz w:val="24"/>
          <w:szCs w:val="24"/>
          <w:lang w:val="fr-CA"/>
        </w:rPr>
        <w:t>espoir d</w:t>
      </w:r>
      <w:r w:rsidR="003164E8">
        <w:rPr>
          <w:rFonts w:ascii="Arial Narrow" w:hAnsi="Arial Narrow"/>
          <w:sz w:val="24"/>
          <w:szCs w:val="24"/>
          <w:lang w:val="fr-CA"/>
        </w:rPr>
        <w:t>’</w:t>
      </w:r>
      <w:r w:rsidRPr="00AF4233">
        <w:rPr>
          <w:rFonts w:ascii="Arial Narrow" w:hAnsi="Arial Narrow"/>
          <w:sz w:val="24"/>
          <w:szCs w:val="24"/>
          <w:lang w:val="fr-CA"/>
        </w:rPr>
        <w:t>un remède depuis très longtemps. Mais les preuves scientifiques</w:t>
      </w:r>
      <w:r w:rsidR="0034037E" w:rsidRPr="00AF4233">
        <w:rPr>
          <w:rFonts w:ascii="Arial Narrow" w:hAnsi="Arial Narrow"/>
          <w:sz w:val="24"/>
          <w:szCs w:val="24"/>
          <w:lang w:val="fr-CA"/>
        </w:rPr>
        <w:t xml:space="preserve"> doivent prévaloir et, actuellement, il y a trop de sonnettes d</w:t>
      </w:r>
      <w:r w:rsidR="003164E8">
        <w:rPr>
          <w:rFonts w:ascii="Arial Narrow" w:hAnsi="Arial Narrow"/>
          <w:sz w:val="24"/>
          <w:szCs w:val="24"/>
          <w:lang w:val="fr-CA"/>
        </w:rPr>
        <w:t>’</w:t>
      </w:r>
      <w:r w:rsidR="0034037E" w:rsidRPr="00AF4233">
        <w:rPr>
          <w:rFonts w:ascii="Arial Narrow" w:hAnsi="Arial Narrow"/>
          <w:sz w:val="24"/>
          <w:szCs w:val="24"/>
          <w:lang w:val="fr-CA"/>
        </w:rPr>
        <w:t>alarme. Les gens doivent comprendre que l</w:t>
      </w:r>
      <w:r w:rsidR="003164E8">
        <w:rPr>
          <w:rFonts w:ascii="Arial Narrow" w:hAnsi="Arial Narrow"/>
          <w:sz w:val="24"/>
          <w:szCs w:val="24"/>
          <w:lang w:val="fr-CA"/>
        </w:rPr>
        <w:t>’</w:t>
      </w:r>
      <w:r w:rsidR="0034037E" w:rsidRPr="00AF4233">
        <w:rPr>
          <w:rFonts w:ascii="Arial Narrow" w:hAnsi="Arial Narrow"/>
          <w:sz w:val="24"/>
          <w:szCs w:val="24"/>
          <w:lang w:val="fr-CA"/>
        </w:rPr>
        <w:t>introduction d</w:t>
      </w:r>
      <w:r w:rsidR="003164E8">
        <w:rPr>
          <w:rFonts w:ascii="Arial Narrow" w:hAnsi="Arial Narrow"/>
          <w:sz w:val="24"/>
          <w:szCs w:val="24"/>
          <w:lang w:val="fr-CA"/>
        </w:rPr>
        <w:t>’</w:t>
      </w:r>
      <w:r w:rsidR="0034037E" w:rsidRPr="00AF4233">
        <w:rPr>
          <w:rFonts w:ascii="Arial Narrow" w:hAnsi="Arial Narrow"/>
          <w:sz w:val="24"/>
          <w:szCs w:val="24"/>
          <w:lang w:val="fr-CA"/>
        </w:rPr>
        <w:t xml:space="preserve">un médicament qui pourrait ne pas avoir de bénéfices cliniques </w:t>
      </w:r>
      <w:r w:rsidR="00AF4233" w:rsidRPr="00AF4233">
        <w:rPr>
          <w:rFonts w:ascii="Arial Narrow" w:hAnsi="Arial Narrow"/>
          <w:sz w:val="24"/>
          <w:szCs w:val="24"/>
          <w:lang w:val="fr-CA"/>
        </w:rPr>
        <w:t>pertinents</w:t>
      </w:r>
      <w:r w:rsidR="0034037E" w:rsidRPr="00AF4233">
        <w:rPr>
          <w:rFonts w:ascii="Arial Narrow" w:hAnsi="Arial Narrow"/>
          <w:sz w:val="24"/>
          <w:szCs w:val="24"/>
          <w:lang w:val="fr-CA"/>
        </w:rPr>
        <w:t xml:space="preserve"> </w:t>
      </w:r>
      <w:r w:rsidR="00AF4233" w:rsidRPr="00AF4233">
        <w:rPr>
          <w:rFonts w:ascii="Arial Narrow" w:hAnsi="Arial Narrow"/>
          <w:sz w:val="24"/>
          <w:szCs w:val="24"/>
          <w:lang w:val="fr-CA"/>
        </w:rPr>
        <w:t>pourrait</w:t>
      </w:r>
      <w:r w:rsidR="0034037E" w:rsidRPr="00AF4233">
        <w:rPr>
          <w:rFonts w:ascii="Arial Narrow" w:hAnsi="Arial Narrow"/>
          <w:sz w:val="24"/>
          <w:szCs w:val="24"/>
          <w:lang w:val="fr-CA"/>
        </w:rPr>
        <w:t xml:space="preserve"> avoir des effets préjudiciables. »</w:t>
      </w:r>
    </w:p>
    <w:p w14:paraId="4FB7C5A1" w14:textId="668E4882" w:rsidR="00C636D8" w:rsidRPr="000F2AD4" w:rsidRDefault="00AF4233" w:rsidP="00C636D8">
      <w:pPr>
        <w:spacing w:line="240" w:lineRule="auto"/>
        <w:rPr>
          <w:rFonts w:ascii="Arial Narrow" w:hAnsi="Arial Narrow" w:cs="Arial"/>
          <w:sz w:val="24"/>
          <w:szCs w:val="24"/>
          <w:lang w:val="fr-CA"/>
        </w:rPr>
      </w:pPr>
      <w:r>
        <w:rPr>
          <w:rFonts w:ascii="Arial Narrow" w:hAnsi="Arial Narrow"/>
          <w:sz w:val="24"/>
          <w:szCs w:val="24"/>
          <w:lang w:val="fr-CA"/>
        </w:rPr>
        <w:lastRenderedPageBreak/>
        <w:t xml:space="preserve">Dans leur prise de position, les professionnels de la recherche en santé mentionnent que les preuves disponibles présentées par Biogen, la compagnie </w:t>
      </w:r>
      <w:r w:rsidR="00B26652">
        <w:rPr>
          <w:rFonts w:ascii="Arial Narrow" w:hAnsi="Arial Narrow"/>
          <w:sz w:val="24"/>
          <w:szCs w:val="24"/>
          <w:lang w:val="fr-CA"/>
        </w:rPr>
        <w:t>pharmaceutique</w:t>
      </w:r>
      <w:r>
        <w:rPr>
          <w:rFonts w:ascii="Arial Narrow" w:hAnsi="Arial Narrow"/>
          <w:sz w:val="24"/>
          <w:szCs w:val="24"/>
          <w:lang w:val="fr-CA"/>
        </w:rPr>
        <w:t xml:space="preserve"> qui a développé le médicament</w:t>
      </w:r>
      <w:r w:rsidR="005B0259">
        <w:rPr>
          <w:rFonts w:ascii="Arial Narrow" w:hAnsi="Arial Narrow"/>
          <w:sz w:val="24"/>
          <w:szCs w:val="24"/>
          <w:lang w:val="fr-CA"/>
        </w:rPr>
        <w:t>,</w:t>
      </w:r>
      <w:r>
        <w:rPr>
          <w:rFonts w:ascii="Arial Narrow" w:hAnsi="Arial Narrow"/>
          <w:sz w:val="24"/>
          <w:szCs w:val="24"/>
          <w:lang w:val="fr-CA"/>
        </w:rPr>
        <w:t xml:space="preserve"> suggère</w:t>
      </w:r>
      <w:r w:rsidR="005B0259">
        <w:rPr>
          <w:rFonts w:ascii="Arial Narrow" w:hAnsi="Arial Narrow"/>
          <w:sz w:val="24"/>
          <w:szCs w:val="24"/>
          <w:lang w:val="fr-CA"/>
        </w:rPr>
        <w:t>nt</w:t>
      </w:r>
      <w:r>
        <w:rPr>
          <w:rFonts w:ascii="Arial Narrow" w:hAnsi="Arial Narrow"/>
          <w:sz w:val="24"/>
          <w:szCs w:val="24"/>
          <w:lang w:val="fr-CA"/>
        </w:rPr>
        <w:t xml:space="preserve"> que l</w:t>
      </w:r>
      <w:r w:rsidR="003164E8">
        <w:rPr>
          <w:rFonts w:ascii="Arial Narrow" w:hAnsi="Arial Narrow"/>
          <w:sz w:val="24"/>
          <w:szCs w:val="24"/>
          <w:lang w:val="fr-CA"/>
        </w:rPr>
        <w:t>’</w:t>
      </w:r>
      <w:r w:rsidR="00E2094D" w:rsidRPr="00AF4233">
        <w:rPr>
          <w:rFonts w:ascii="Arial Narrow" w:hAnsi="Arial Narrow" w:cs="Arial"/>
          <w:sz w:val="24"/>
          <w:szCs w:val="24"/>
          <w:lang w:val="fr-CA"/>
        </w:rPr>
        <w:t>aducanumab (ADUHELM</w:t>
      </w:r>
      <w:r>
        <w:rPr>
          <w:rFonts w:ascii="Arial Narrow" w:hAnsi="Arial Narrow" w:cs="Arial"/>
          <w:sz w:val="24"/>
          <w:szCs w:val="24"/>
          <w:vertAlign w:val="superscript"/>
          <w:lang w:val="fr-CA"/>
        </w:rPr>
        <w:t>MC</w:t>
      </w:r>
      <w:r w:rsidR="00E2094D" w:rsidRPr="00AF4233">
        <w:rPr>
          <w:rFonts w:ascii="Arial Narrow" w:hAnsi="Arial Narrow" w:cs="Arial"/>
          <w:sz w:val="24"/>
          <w:szCs w:val="24"/>
          <w:lang w:val="fr-CA"/>
        </w:rPr>
        <w:t xml:space="preserve">) </w:t>
      </w:r>
      <w:r>
        <w:rPr>
          <w:rFonts w:ascii="Arial Narrow" w:hAnsi="Arial Narrow" w:cs="Arial"/>
          <w:sz w:val="24"/>
          <w:szCs w:val="24"/>
          <w:lang w:val="fr-CA"/>
        </w:rPr>
        <w:t>ne satisfait pas aux critères</w:t>
      </w:r>
      <w:r w:rsidR="00E65F5C">
        <w:rPr>
          <w:rFonts w:ascii="Arial Narrow" w:hAnsi="Arial Narrow" w:cs="Arial"/>
          <w:sz w:val="24"/>
          <w:szCs w:val="24"/>
          <w:lang w:val="fr-CA"/>
        </w:rPr>
        <w:t xml:space="preserve"> cliniques</w:t>
      </w:r>
      <w:r>
        <w:rPr>
          <w:rFonts w:ascii="Arial Narrow" w:hAnsi="Arial Narrow" w:cs="Arial"/>
          <w:sz w:val="24"/>
          <w:szCs w:val="24"/>
          <w:lang w:val="fr-CA"/>
        </w:rPr>
        <w:t xml:space="preserve"> </w:t>
      </w:r>
      <w:r w:rsidR="000F2AD4">
        <w:rPr>
          <w:rFonts w:ascii="Arial Narrow" w:hAnsi="Arial Narrow" w:cs="Arial"/>
          <w:sz w:val="24"/>
          <w:szCs w:val="24"/>
          <w:lang w:val="fr-CA"/>
        </w:rPr>
        <w:t>d</w:t>
      </w:r>
      <w:r w:rsidR="003164E8">
        <w:rPr>
          <w:rFonts w:ascii="Arial Narrow" w:hAnsi="Arial Narrow" w:cs="Arial"/>
          <w:sz w:val="24"/>
          <w:szCs w:val="24"/>
          <w:lang w:val="fr-CA"/>
        </w:rPr>
        <w:t>’</w:t>
      </w:r>
      <w:r w:rsidR="00B26652">
        <w:rPr>
          <w:rFonts w:ascii="Arial Narrow" w:hAnsi="Arial Narrow" w:cs="Arial"/>
          <w:sz w:val="24"/>
          <w:szCs w:val="24"/>
          <w:lang w:val="fr-CA"/>
        </w:rPr>
        <w:t>efficacité</w:t>
      </w:r>
      <w:r w:rsidR="000F2AD4">
        <w:rPr>
          <w:rFonts w:ascii="Arial Narrow" w:hAnsi="Arial Narrow" w:cs="Arial"/>
          <w:sz w:val="24"/>
          <w:szCs w:val="24"/>
          <w:lang w:val="fr-CA"/>
        </w:rPr>
        <w:t>, d</w:t>
      </w:r>
      <w:r w:rsidR="003164E8">
        <w:rPr>
          <w:rFonts w:ascii="Arial Narrow" w:hAnsi="Arial Narrow" w:cs="Arial"/>
          <w:sz w:val="24"/>
          <w:szCs w:val="24"/>
          <w:lang w:val="fr-CA"/>
        </w:rPr>
        <w:t>’</w:t>
      </w:r>
      <w:r w:rsidR="000F2AD4">
        <w:rPr>
          <w:rFonts w:ascii="Arial Narrow" w:hAnsi="Arial Narrow" w:cs="Arial"/>
          <w:sz w:val="24"/>
          <w:szCs w:val="24"/>
          <w:lang w:val="fr-CA"/>
        </w:rPr>
        <w:t xml:space="preserve">innocuité et de </w:t>
      </w:r>
      <w:r w:rsidR="001B733F">
        <w:rPr>
          <w:rFonts w:ascii="Arial Narrow" w:hAnsi="Arial Narrow" w:cs="Arial"/>
          <w:sz w:val="24"/>
          <w:szCs w:val="24"/>
          <w:lang w:val="fr-CA"/>
        </w:rPr>
        <w:t xml:space="preserve">rapport </w:t>
      </w:r>
      <w:r w:rsidR="002F0D04">
        <w:rPr>
          <w:rFonts w:ascii="Arial Narrow" w:hAnsi="Arial Narrow" w:cs="Arial"/>
          <w:sz w:val="24"/>
          <w:szCs w:val="24"/>
          <w:lang w:val="fr-CA"/>
        </w:rPr>
        <w:t>bénéfice</w:t>
      </w:r>
      <w:r w:rsidR="002F0D04" w:rsidRPr="004243B3">
        <w:rPr>
          <w:rFonts w:ascii="Arial Narrow" w:hAnsi="Arial Narrow" w:cs="Arial"/>
          <w:sz w:val="24"/>
          <w:szCs w:val="24"/>
          <w:lang w:val="fr-CA"/>
        </w:rPr>
        <w:t>/</w:t>
      </w:r>
      <w:r w:rsidR="00B162E0">
        <w:rPr>
          <w:rFonts w:ascii="Arial Narrow" w:hAnsi="Arial Narrow" w:cs="Arial"/>
          <w:sz w:val="24"/>
          <w:szCs w:val="24"/>
          <w:lang w:val="fr-CA"/>
        </w:rPr>
        <w:t>risque</w:t>
      </w:r>
      <w:r w:rsidR="000F2AD4">
        <w:rPr>
          <w:rFonts w:ascii="Arial Narrow" w:hAnsi="Arial Narrow" w:cs="Arial"/>
          <w:sz w:val="24"/>
          <w:szCs w:val="24"/>
          <w:lang w:val="fr-CA"/>
        </w:rPr>
        <w:t xml:space="preserve"> d</w:t>
      </w:r>
      <w:r w:rsidR="003164E8">
        <w:rPr>
          <w:rFonts w:ascii="Arial Narrow" w:hAnsi="Arial Narrow" w:cs="Arial"/>
          <w:sz w:val="24"/>
          <w:szCs w:val="24"/>
          <w:lang w:val="fr-CA"/>
        </w:rPr>
        <w:t>’</w:t>
      </w:r>
      <w:r w:rsidR="000F2AD4">
        <w:rPr>
          <w:rFonts w:ascii="Arial Narrow" w:hAnsi="Arial Narrow" w:cs="Arial"/>
          <w:sz w:val="24"/>
          <w:szCs w:val="24"/>
          <w:lang w:val="fr-CA"/>
        </w:rPr>
        <w:t>un traitement modificateur de la maladie pour la MA qui justifieraient une approbation réglementaire au Canada. De plus, des questions majeures relatives aux coûts et aux bénéfices ont été soulevées et doivent être évaluées en profondeur.</w:t>
      </w:r>
    </w:p>
    <w:p w14:paraId="64A6EA77" w14:textId="52DA0E12" w:rsidR="005D6313" w:rsidRDefault="0034037E" w:rsidP="00BB6A71">
      <w:pPr>
        <w:spacing w:line="240" w:lineRule="auto"/>
        <w:rPr>
          <w:rFonts w:ascii="Arial Narrow" w:hAnsi="Arial Narrow"/>
          <w:sz w:val="24"/>
          <w:szCs w:val="24"/>
          <w:lang w:val="fr-CA"/>
        </w:rPr>
      </w:pPr>
      <w:r w:rsidRPr="00AF4233">
        <w:rPr>
          <w:rFonts w:ascii="Arial Narrow" w:hAnsi="Arial Narrow"/>
          <w:sz w:val="24"/>
          <w:szCs w:val="24"/>
          <w:lang w:val="fr-CA"/>
        </w:rPr>
        <w:t>« Le système de soins de santé canadien est très différent de son homologue aux États-Unis et les bénéfices d</w:t>
      </w:r>
      <w:r w:rsidR="003164E8">
        <w:rPr>
          <w:rFonts w:ascii="Arial Narrow" w:hAnsi="Arial Narrow"/>
          <w:sz w:val="24"/>
          <w:szCs w:val="24"/>
          <w:lang w:val="fr-CA"/>
        </w:rPr>
        <w:t>’</w:t>
      </w:r>
      <w:r w:rsidRPr="00AF4233">
        <w:rPr>
          <w:rFonts w:ascii="Arial Narrow" w:hAnsi="Arial Narrow"/>
          <w:sz w:val="24"/>
          <w:szCs w:val="24"/>
          <w:lang w:val="fr-CA"/>
        </w:rPr>
        <w:t xml:space="preserve">un traitement </w:t>
      </w:r>
      <w:r w:rsidR="00B26652" w:rsidRPr="00AF4233">
        <w:rPr>
          <w:rFonts w:ascii="Arial Narrow" w:hAnsi="Arial Narrow"/>
          <w:sz w:val="24"/>
          <w:szCs w:val="24"/>
          <w:lang w:val="fr-CA"/>
        </w:rPr>
        <w:t>modificateur</w:t>
      </w:r>
      <w:r w:rsidRPr="00AF4233">
        <w:rPr>
          <w:rFonts w:ascii="Arial Narrow" w:hAnsi="Arial Narrow"/>
          <w:sz w:val="24"/>
          <w:szCs w:val="24"/>
          <w:lang w:val="fr-CA"/>
        </w:rPr>
        <w:t xml:space="preserve"> de </w:t>
      </w:r>
      <w:r w:rsidR="00E65F5C">
        <w:rPr>
          <w:rFonts w:ascii="Arial Narrow" w:hAnsi="Arial Narrow"/>
          <w:sz w:val="24"/>
          <w:szCs w:val="24"/>
          <w:lang w:val="fr-CA"/>
        </w:rPr>
        <w:t xml:space="preserve">la </w:t>
      </w:r>
      <w:r w:rsidRPr="00AF4233">
        <w:rPr>
          <w:rFonts w:ascii="Arial Narrow" w:hAnsi="Arial Narrow"/>
          <w:sz w:val="24"/>
          <w:szCs w:val="24"/>
          <w:lang w:val="fr-CA"/>
        </w:rPr>
        <w:t>maladie coûteux devr</w:t>
      </w:r>
      <w:r w:rsidR="00562D90">
        <w:rPr>
          <w:rFonts w:ascii="Arial Narrow" w:hAnsi="Arial Narrow"/>
          <w:sz w:val="24"/>
          <w:szCs w:val="24"/>
          <w:lang w:val="fr-CA"/>
        </w:rPr>
        <w:t>ont</w:t>
      </w:r>
      <w:r w:rsidRPr="00AF4233">
        <w:rPr>
          <w:rFonts w:ascii="Arial Narrow" w:hAnsi="Arial Narrow"/>
          <w:sz w:val="24"/>
          <w:szCs w:val="24"/>
          <w:lang w:val="fr-CA"/>
        </w:rPr>
        <w:t xml:space="preserve"> être soupesé</w:t>
      </w:r>
      <w:r w:rsidR="00562D90">
        <w:rPr>
          <w:rFonts w:ascii="Arial Narrow" w:hAnsi="Arial Narrow"/>
          <w:sz w:val="24"/>
          <w:szCs w:val="24"/>
          <w:lang w:val="fr-CA"/>
        </w:rPr>
        <w:t>s</w:t>
      </w:r>
      <w:r w:rsidRPr="00AF4233">
        <w:rPr>
          <w:rFonts w:ascii="Arial Narrow" w:hAnsi="Arial Narrow"/>
          <w:sz w:val="24"/>
          <w:szCs w:val="24"/>
          <w:lang w:val="fr-CA"/>
        </w:rPr>
        <w:t xml:space="preserve"> contre les autres utilisations possibles de finances publiques limitées. » d</w:t>
      </w:r>
      <w:r w:rsidR="00562D90">
        <w:rPr>
          <w:rFonts w:ascii="Arial Narrow" w:hAnsi="Arial Narrow"/>
          <w:sz w:val="24"/>
          <w:szCs w:val="24"/>
          <w:lang w:val="fr-CA"/>
        </w:rPr>
        <w:t>éclare</w:t>
      </w:r>
      <w:r w:rsidRPr="00AF4233">
        <w:rPr>
          <w:rFonts w:ascii="Arial Narrow" w:hAnsi="Arial Narrow"/>
          <w:sz w:val="24"/>
          <w:szCs w:val="24"/>
          <w:lang w:val="fr-CA"/>
        </w:rPr>
        <w:t xml:space="preserve"> le </w:t>
      </w:r>
      <w:r w:rsidR="00FA22F8" w:rsidRPr="00AF4233">
        <w:rPr>
          <w:rFonts w:ascii="Arial Narrow" w:hAnsi="Arial Narrow" w:cs="Arial"/>
          <w:sz w:val="24"/>
          <w:szCs w:val="24"/>
          <w:lang w:val="fr-CA"/>
        </w:rPr>
        <w:t xml:space="preserve">Dr Tarek Rajji, </w:t>
      </w:r>
      <w:r w:rsidR="00FC023D" w:rsidRPr="00AF4233">
        <w:rPr>
          <w:rFonts w:ascii="Arial Narrow" w:hAnsi="Arial Narrow" w:cs="Arial"/>
          <w:sz w:val="24"/>
          <w:szCs w:val="24"/>
          <w:lang w:val="fr-CA"/>
        </w:rPr>
        <w:t>directeur général</w:t>
      </w:r>
      <w:r w:rsidRPr="00AF4233">
        <w:rPr>
          <w:rFonts w:ascii="Arial Narrow" w:hAnsi="Arial Narrow" w:cs="Arial"/>
          <w:sz w:val="24"/>
          <w:szCs w:val="24"/>
          <w:lang w:val="fr-CA"/>
        </w:rPr>
        <w:t xml:space="preserve"> de la </w:t>
      </w:r>
      <w:r w:rsidR="00FA22F8" w:rsidRPr="0022608C">
        <w:rPr>
          <w:rFonts w:ascii="Arial Narrow" w:hAnsi="Arial Narrow"/>
          <w:i/>
          <w:sz w:val="24"/>
          <w:lang w:val="fr-CA"/>
        </w:rPr>
        <w:t>Toronto Dementia Research Alliance</w:t>
      </w:r>
      <w:r w:rsidR="00FA22F8" w:rsidRPr="00AF4233">
        <w:rPr>
          <w:rFonts w:ascii="Arial Narrow" w:hAnsi="Arial Narrow"/>
          <w:sz w:val="24"/>
          <w:lang w:val="fr-CA"/>
        </w:rPr>
        <w:t>.</w:t>
      </w:r>
      <w:r w:rsidRPr="00AF4233">
        <w:rPr>
          <w:rFonts w:ascii="Arial Narrow" w:hAnsi="Arial Narrow"/>
          <w:sz w:val="24"/>
          <w:lang w:val="fr-CA"/>
        </w:rPr>
        <w:t xml:space="preserve"> </w:t>
      </w:r>
      <w:r w:rsidR="00E65F5C">
        <w:rPr>
          <w:rFonts w:ascii="Arial Narrow" w:hAnsi="Arial Narrow"/>
          <w:sz w:val="24"/>
          <w:lang w:val="fr-CA"/>
        </w:rPr>
        <w:t>Il précise</w:t>
      </w:r>
      <w:r w:rsidR="00FC023D" w:rsidRPr="00AF4233">
        <w:rPr>
          <w:rFonts w:ascii="Arial Narrow" w:hAnsi="Arial Narrow"/>
          <w:sz w:val="24"/>
          <w:lang w:val="fr-CA"/>
        </w:rPr>
        <w:t xml:space="preserve"> </w:t>
      </w:r>
      <w:r w:rsidR="00FC023D" w:rsidRPr="00AF4233">
        <w:rPr>
          <w:rFonts w:ascii="Arial Narrow" w:hAnsi="Arial Narrow"/>
          <w:sz w:val="24"/>
          <w:szCs w:val="24"/>
          <w:lang w:val="fr-CA"/>
        </w:rPr>
        <w:t>« L</w:t>
      </w:r>
      <w:r w:rsidR="003164E8">
        <w:rPr>
          <w:rFonts w:ascii="Arial Narrow" w:hAnsi="Arial Narrow"/>
          <w:sz w:val="24"/>
          <w:szCs w:val="24"/>
          <w:lang w:val="fr-CA"/>
        </w:rPr>
        <w:t>’</w:t>
      </w:r>
      <w:r w:rsidR="00FC023D" w:rsidRPr="00AF4233">
        <w:rPr>
          <w:rFonts w:ascii="Arial Narrow" w:hAnsi="Arial Narrow"/>
          <w:sz w:val="24"/>
          <w:szCs w:val="24"/>
          <w:lang w:val="fr-CA"/>
        </w:rPr>
        <w:t xml:space="preserve">ajout de nouveaux coûts à un système de soins de </w:t>
      </w:r>
      <w:r w:rsidR="00E65F5C">
        <w:rPr>
          <w:rFonts w:ascii="Arial Narrow" w:hAnsi="Arial Narrow"/>
          <w:sz w:val="24"/>
          <w:szCs w:val="24"/>
          <w:lang w:val="fr-CA"/>
        </w:rPr>
        <w:t xml:space="preserve">santé qui est déjà surchargé </w:t>
      </w:r>
      <w:r w:rsidR="001B733F">
        <w:rPr>
          <w:rFonts w:ascii="Arial Narrow" w:hAnsi="Arial Narrow"/>
          <w:sz w:val="24"/>
          <w:szCs w:val="24"/>
          <w:lang w:val="fr-CA"/>
        </w:rPr>
        <w:t>obligerait</w:t>
      </w:r>
      <w:r w:rsidR="001B733F" w:rsidRPr="00AF4233">
        <w:rPr>
          <w:rFonts w:ascii="Arial Narrow" w:hAnsi="Arial Narrow"/>
          <w:sz w:val="24"/>
          <w:szCs w:val="24"/>
          <w:lang w:val="fr-CA"/>
        </w:rPr>
        <w:t xml:space="preserve"> </w:t>
      </w:r>
      <w:r w:rsidR="00FC023D" w:rsidRPr="00AF4233">
        <w:rPr>
          <w:rFonts w:ascii="Arial Narrow" w:hAnsi="Arial Narrow"/>
          <w:sz w:val="24"/>
          <w:szCs w:val="24"/>
          <w:lang w:val="fr-CA"/>
        </w:rPr>
        <w:t>les autorités à prendre des décisions difficiles. Nous savons que certains facteurs de risque de démence qu</w:t>
      </w:r>
      <w:r w:rsidR="003164E8">
        <w:rPr>
          <w:rFonts w:ascii="Arial Narrow" w:hAnsi="Arial Narrow"/>
          <w:sz w:val="24"/>
          <w:szCs w:val="24"/>
          <w:lang w:val="fr-CA"/>
        </w:rPr>
        <w:t>’</w:t>
      </w:r>
      <w:r w:rsidR="00FC023D" w:rsidRPr="00AF4233">
        <w:rPr>
          <w:rFonts w:ascii="Arial Narrow" w:hAnsi="Arial Narrow"/>
          <w:sz w:val="24"/>
          <w:szCs w:val="24"/>
          <w:lang w:val="fr-CA"/>
        </w:rPr>
        <w:t>il est possible de prévenir (comme l</w:t>
      </w:r>
      <w:r w:rsidR="003164E8">
        <w:rPr>
          <w:rFonts w:ascii="Arial Narrow" w:hAnsi="Arial Narrow"/>
          <w:sz w:val="24"/>
          <w:szCs w:val="24"/>
          <w:lang w:val="fr-CA"/>
        </w:rPr>
        <w:t>’</w:t>
      </w:r>
      <w:r w:rsidR="00FC023D" w:rsidRPr="00AF4233">
        <w:rPr>
          <w:rFonts w:ascii="Arial Narrow" w:hAnsi="Arial Narrow"/>
          <w:sz w:val="24"/>
          <w:szCs w:val="24"/>
          <w:lang w:val="fr-CA"/>
        </w:rPr>
        <w:t xml:space="preserve">hypertension, le tabagisme, le diabète et la perte auditive </w:t>
      </w:r>
      <w:r w:rsidR="00B26652" w:rsidRPr="00AF4233">
        <w:rPr>
          <w:rFonts w:ascii="Arial Narrow" w:hAnsi="Arial Narrow"/>
          <w:sz w:val="24"/>
          <w:szCs w:val="24"/>
          <w:lang w:val="fr-CA"/>
        </w:rPr>
        <w:t>en</w:t>
      </w:r>
      <w:r w:rsidR="00FC023D" w:rsidRPr="00AF4233">
        <w:rPr>
          <w:rFonts w:ascii="Arial Narrow" w:hAnsi="Arial Narrow"/>
          <w:sz w:val="24"/>
          <w:szCs w:val="24"/>
          <w:lang w:val="fr-CA"/>
        </w:rPr>
        <w:t xml:space="preserve"> milieu de vie)</w:t>
      </w:r>
      <w:r w:rsidR="00B26652">
        <w:rPr>
          <w:rFonts w:ascii="Arial Narrow" w:hAnsi="Arial Narrow"/>
          <w:sz w:val="24"/>
          <w:szCs w:val="24"/>
          <w:lang w:val="fr-CA"/>
        </w:rPr>
        <w:t xml:space="preserve"> sont responsables d</w:t>
      </w:r>
      <w:r w:rsidR="00FC023D" w:rsidRPr="00AF4233">
        <w:rPr>
          <w:rFonts w:ascii="Arial Narrow" w:hAnsi="Arial Narrow"/>
          <w:sz w:val="24"/>
          <w:szCs w:val="24"/>
          <w:lang w:val="fr-CA"/>
        </w:rPr>
        <w:t>e</w:t>
      </w:r>
      <w:r w:rsidR="00B26652">
        <w:rPr>
          <w:rFonts w:ascii="Arial Narrow" w:hAnsi="Arial Narrow"/>
          <w:sz w:val="24"/>
          <w:szCs w:val="24"/>
          <w:lang w:val="fr-CA"/>
        </w:rPr>
        <w:t xml:space="preserve"> </w:t>
      </w:r>
      <w:r w:rsidR="00FC023D" w:rsidRPr="00AF4233">
        <w:rPr>
          <w:rFonts w:ascii="Arial Narrow" w:hAnsi="Arial Narrow"/>
          <w:sz w:val="24"/>
          <w:szCs w:val="24"/>
          <w:lang w:val="fr-CA"/>
        </w:rPr>
        <w:t xml:space="preserve">plus de 40 % des cas de démence. Un plus grand investissement dans des </w:t>
      </w:r>
      <w:r w:rsidR="00B26652" w:rsidRPr="00AF4233">
        <w:rPr>
          <w:rFonts w:ascii="Arial Narrow" w:hAnsi="Arial Narrow"/>
          <w:sz w:val="24"/>
          <w:szCs w:val="24"/>
          <w:lang w:val="fr-CA"/>
        </w:rPr>
        <w:t>programmes</w:t>
      </w:r>
      <w:r w:rsidR="00FC023D" w:rsidRPr="00AF4233">
        <w:rPr>
          <w:rFonts w:ascii="Arial Narrow" w:hAnsi="Arial Narrow"/>
          <w:sz w:val="24"/>
          <w:szCs w:val="24"/>
          <w:lang w:val="fr-CA"/>
        </w:rPr>
        <w:t xml:space="preserve"> de prévention d</w:t>
      </w:r>
      <w:r w:rsidR="003164E8">
        <w:rPr>
          <w:rFonts w:ascii="Arial Narrow" w:hAnsi="Arial Narrow"/>
          <w:sz w:val="24"/>
          <w:szCs w:val="24"/>
          <w:lang w:val="fr-CA"/>
        </w:rPr>
        <w:t>’</w:t>
      </w:r>
      <w:r w:rsidR="00FC023D" w:rsidRPr="00AF4233">
        <w:rPr>
          <w:rFonts w:ascii="Arial Narrow" w:hAnsi="Arial Narrow"/>
          <w:sz w:val="24"/>
          <w:szCs w:val="24"/>
          <w:lang w:val="fr-CA"/>
        </w:rPr>
        <w:t xml:space="preserve">une haute </w:t>
      </w:r>
      <w:r w:rsidR="00B26652" w:rsidRPr="00AF4233">
        <w:rPr>
          <w:rFonts w:ascii="Arial Narrow" w:hAnsi="Arial Narrow"/>
          <w:sz w:val="24"/>
          <w:szCs w:val="24"/>
          <w:lang w:val="fr-CA"/>
        </w:rPr>
        <w:t>efficacité</w:t>
      </w:r>
      <w:r w:rsidR="00FC023D" w:rsidRPr="00AF4233">
        <w:rPr>
          <w:rFonts w:ascii="Arial Narrow" w:hAnsi="Arial Narrow"/>
          <w:sz w:val="24"/>
          <w:szCs w:val="24"/>
          <w:lang w:val="fr-CA"/>
        </w:rPr>
        <w:t xml:space="preserve"> </w:t>
      </w:r>
      <w:r w:rsidR="00B26652" w:rsidRPr="00AF4233">
        <w:rPr>
          <w:rFonts w:ascii="Arial Narrow" w:hAnsi="Arial Narrow"/>
          <w:sz w:val="24"/>
          <w:szCs w:val="24"/>
          <w:lang w:val="fr-CA"/>
        </w:rPr>
        <w:t>s</w:t>
      </w:r>
      <w:r w:rsidR="003164E8">
        <w:rPr>
          <w:rFonts w:ascii="Arial Narrow" w:hAnsi="Arial Narrow"/>
          <w:sz w:val="24"/>
          <w:szCs w:val="24"/>
          <w:lang w:val="fr-CA"/>
        </w:rPr>
        <w:t>’</w:t>
      </w:r>
      <w:r w:rsidR="00B26652" w:rsidRPr="00AF4233">
        <w:rPr>
          <w:rFonts w:ascii="Arial Narrow" w:hAnsi="Arial Narrow"/>
          <w:sz w:val="24"/>
          <w:szCs w:val="24"/>
          <w:lang w:val="fr-CA"/>
        </w:rPr>
        <w:t>avérerait</w:t>
      </w:r>
      <w:r w:rsidR="00FC023D" w:rsidRPr="00AF4233">
        <w:rPr>
          <w:rFonts w:ascii="Arial Narrow" w:hAnsi="Arial Narrow"/>
          <w:sz w:val="24"/>
          <w:szCs w:val="24"/>
          <w:lang w:val="fr-CA"/>
        </w:rPr>
        <w:t xml:space="preserve"> plus économique</w:t>
      </w:r>
      <w:r w:rsidR="00BB6A71" w:rsidRPr="00AF4233">
        <w:rPr>
          <w:rFonts w:ascii="Arial Narrow" w:hAnsi="Arial Narrow"/>
          <w:sz w:val="24"/>
          <w:szCs w:val="24"/>
          <w:lang w:val="fr-CA"/>
        </w:rPr>
        <w:t xml:space="preserve"> et réduirait le nombre de per</w:t>
      </w:r>
      <w:r w:rsidR="00FC023D" w:rsidRPr="00AF4233">
        <w:rPr>
          <w:rFonts w:ascii="Arial Narrow" w:hAnsi="Arial Narrow"/>
          <w:sz w:val="24"/>
          <w:szCs w:val="24"/>
          <w:lang w:val="fr-CA"/>
        </w:rPr>
        <w:t>s</w:t>
      </w:r>
      <w:r w:rsidR="00BB6A71" w:rsidRPr="00AF4233">
        <w:rPr>
          <w:rFonts w:ascii="Arial Narrow" w:hAnsi="Arial Narrow"/>
          <w:sz w:val="24"/>
          <w:szCs w:val="24"/>
          <w:lang w:val="fr-CA"/>
        </w:rPr>
        <w:t>o</w:t>
      </w:r>
      <w:r w:rsidR="00FC023D" w:rsidRPr="00AF4233">
        <w:rPr>
          <w:rFonts w:ascii="Arial Narrow" w:hAnsi="Arial Narrow"/>
          <w:sz w:val="24"/>
          <w:szCs w:val="24"/>
          <w:lang w:val="fr-CA"/>
        </w:rPr>
        <w:t>nnes atteintes de démence.</w:t>
      </w:r>
      <w:r w:rsidR="00BB6A71" w:rsidRPr="00AF4233">
        <w:rPr>
          <w:rFonts w:ascii="Arial Narrow" w:hAnsi="Arial Narrow"/>
          <w:sz w:val="24"/>
          <w:szCs w:val="24"/>
          <w:lang w:val="fr-CA"/>
        </w:rPr>
        <w:t> »</w:t>
      </w:r>
    </w:p>
    <w:p w14:paraId="00F8C713" w14:textId="3C5E9A87" w:rsidR="0096584D" w:rsidRPr="00AF4233" w:rsidRDefault="00BB6A71" w:rsidP="00BB6A71">
      <w:pPr>
        <w:spacing w:line="240" w:lineRule="auto"/>
        <w:rPr>
          <w:rFonts w:ascii="Arial Narrow" w:hAnsi="Arial Narrow" w:cs="Arial"/>
          <w:sz w:val="24"/>
          <w:szCs w:val="24"/>
          <w:lang w:val="fr-CA"/>
        </w:rPr>
      </w:pPr>
      <w:r w:rsidRPr="00AF4233">
        <w:rPr>
          <w:rFonts w:ascii="Arial Narrow" w:hAnsi="Arial Narrow"/>
          <w:sz w:val="24"/>
          <w:lang w:val="fr-CA"/>
        </w:rPr>
        <w:t xml:space="preserve">La prise de position a été préparée par des membres du </w:t>
      </w:r>
      <w:r w:rsidRPr="00AF4233">
        <w:rPr>
          <w:rFonts w:ascii="Arial Narrow" w:hAnsi="Arial Narrow"/>
          <w:sz w:val="24"/>
          <w:szCs w:val="24"/>
          <w:lang w:val="fr-CA"/>
        </w:rPr>
        <w:t xml:space="preserve">Consortium canadien en neurodégénérescence associée au vieillissement (CCNV). </w:t>
      </w:r>
      <w:r w:rsidR="008F0C01" w:rsidRPr="00AF4233">
        <w:rPr>
          <w:rFonts w:ascii="Arial Narrow" w:hAnsi="Arial Narrow"/>
          <w:sz w:val="24"/>
          <w:szCs w:val="24"/>
          <w:lang w:val="fr-CA"/>
        </w:rPr>
        <w:t>Le</w:t>
      </w:r>
      <w:r w:rsidRPr="00AF4233">
        <w:rPr>
          <w:rFonts w:ascii="Arial Narrow" w:hAnsi="Arial Narrow"/>
          <w:sz w:val="24"/>
          <w:szCs w:val="24"/>
          <w:lang w:val="fr-CA"/>
        </w:rPr>
        <w:t xml:space="preserve"> </w:t>
      </w:r>
      <w:r w:rsidR="0096584D" w:rsidRPr="0022608C">
        <w:rPr>
          <w:rFonts w:ascii="Arial Narrow" w:hAnsi="Arial Narrow" w:cs="Arial"/>
          <w:i/>
          <w:sz w:val="24"/>
          <w:szCs w:val="24"/>
          <w:lang w:val="fr-CA"/>
        </w:rPr>
        <w:t>Consortium of Canadian Centres for Clinical Cognitive Research</w:t>
      </w:r>
      <w:r w:rsidR="0096584D" w:rsidRPr="00AF4233">
        <w:rPr>
          <w:rFonts w:ascii="Arial Narrow" w:hAnsi="Arial Narrow" w:cs="Arial"/>
          <w:sz w:val="24"/>
          <w:szCs w:val="24"/>
          <w:lang w:val="fr-CA"/>
        </w:rPr>
        <w:t xml:space="preserve"> (C5R), </w:t>
      </w:r>
      <w:r w:rsidRPr="00AF4233">
        <w:rPr>
          <w:rFonts w:ascii="Arial Narrow" w:hAnsi="Arial Narrow" w:cs="Arial"/>
          <w:sz w:val="24"/>
          <w:szCs w:val="24"/>
          <w:lang w:val="fr-CA"/>
        </w:rPr>
        <w:t>l</w:t>
      </w:r>
      <w:r w:rsidR="003164E8">
        <w:rPr>
          <w:rFonts w:ascii="Arial Narrow" w:hAnsi="Arial Narrow" w:cs="Arial"/>
          <w:sz w:val="24"/>
          <w:szCs w:val="24"/>
          <w:lang w:val="fr-CA"/>
        </w:rPr>
        <w:t>’</w:t>
      </w:r>
      <w:r w:rsidRPr="00AF4233">
        <w:rPr>
          <w:rFonts w:ascii="Arial Narrow" w:hAnsi="Arial Narrow" w:cs="Arial"/>
          <w:sz w:val="24"/>
          <w:szCs w:val="24"/>
          <w:lang w:val="fr-CA"/>
        </w:rPr>
        <w:t>Académie canadienne de gérontopsychiatrie (ACG</w:t>
      </w:r>
      <w:r w:rsidR="00065440">
        <w:rPr>
          <w:rFonts w:ascii="Arial Narrow" w:hAnsi="Arial Narrow" w:cs="Arial"/>
          <w:sz w:val="24"/>
          <w:szCs w:val="24"/>
          <w:lang w:val="fr-CA"/>
        </w:rPr>
        <w:t>P</w:t>
      </w:r>
      <w:r w:rsidRPr="00AF4233">
        <w:rPr>
          <w:rFonts w:ascii="Arial Narrow" w:hAnsi="Arial Narrow" w:cs="Arial"/>
          <w:sz w:val="24"/>
          <w:szCs w:val="24"/>
          <w:lang w:val="fr-CA"/>
        </w:rPr>
        <w:t>), la Société canadienne de gériatrie (SCG), l</w:t>
      </w:r>
      <w:r w:rsidR="003164E8">
        <w:rPr>
          <w:rFonts w:ascii="Arial Narrow" w:hAnsi="Arial Narrow" w:cs="Arial"/>
          <w:sz w:val="24"/>
          <w:szCs w:val="24"/>
          <w:lang w:val="fr-CA"/>
        </w:rPr>
        <w:t>’</w:t>
      </w:r>
      <w:r w:rsidRPr="0022608C">
        <w:rPr>
          <w:rFonts w:ascii="Arial Narrow" w:hAnsi="Arial Narrow" w:cs="Arial"/>
          <w:i/>
          <w:sz w:val="24"/>
          <w:szCs w:val="24"/>
          <w:lang w:val="fr-CA"/>
        </w:rPr>
        <w:t>Ontario Neurodegenerative Disease Research Initiative</w:t>
      </w:r>
      <w:r w:rsidRPr="00AF4233">
        <w:rPr>
          <w:rFonts w:ascii="Arial Narrow" w:hAnsi="Arial Narrow" w:cs="Arial"/>
          <w:sz w:val="24"/>
          <w:szCs w:val="24"/>
          <w:lang w:val="fr-CA"/>
        </w:rPr>
        <w:t xml:space="preserve"> (ONDRI) et la</w:t>
      </w:r>
      <w:r w:rsidR="0096584D" w:rsidRPr="00AF4233">
        <w:rPr>
          <w:rFonts w:ascii="Arial Narrow" w:hAnsi="Arial Narrow" w:cs="Arial"/>
          <w:sz w:val="24"/>
          <w:szCs w:val="24"/>
          <w:lang w:val="fr-CA"/>
        </w:rPr>
        <w:t xml:space="preserve"> </w:t>
      </w:r>
      <w:r w:rsidR="0096584D" w:rsidRPr="0022608C">
        <w:rPr>
          <w:rFonts w:ascii="Arial Narrow" w:hAnsi="Arial Narrow" w:cs="Arial"/>
          <w:i/>
          <w:sz w:val="24"/>
          <w:szCs w:val="24"/>
          <w:lang w:val="fr-CA"/>
        </w:rPr>
        <w:t xml:space="preserve">Toronto Dementia Research Alliance </w:t>
      </w:r>
      <w:r w:rsidR="0096584D" w:rsidRPr="00AF4233">
        <w:rPr>
          <w:rFonts w:ascii="Arial Narrow" w:hAnsi="Arial Narrow" w:cs="Arial"/>
          <w:sz w:val="24"/>
          <w:szCs w:val="24"/>
          <w:lang w:val="fr-CA"/>
        </w:rPr>
        <w:t xml:space="preserve">(TDRA), </w:t>
      </w:r>
      <w:r w:rsidR="00B26652">
        <w:rPr>
          <w:rFonts w:ascii="Arial Narrow" w:hAnsi="Arial Narrow" w:cs="Arial"/>
          <w:sz w:val="24"/>
          <w:szCs w:val="24"/>
          <w:lang w:val="fr-CA"/>
        </w:rPr>
        <w:t>et a été appuyée</w:t>
      </w:r>
      <w:r w:rsidRPr="00AF4233">
        <w:rPr>
          <w:rFonts w:ascii="Arial Narrow" w:hAnsi="Arial Narrow" w:cs="Arial"/>
          <w:sz w:val="24"/>
          <w:szCs w:val="24"/>
          <w:lang w:val="fr-CA"/>
        </w:rPr>
        <w:t xml:space="preserve"> par ces org</w:t>
      </w:r>
      <w:r w:rsidR="00B26652">
        <w:rPr>
          <w:rFonts w:ascii="Arial Narrow" w:hAnsi="Arial Narrow" w:cs="Arial"/>
          <w:sz w:val="24"/>
          <w:szCs w:val="24"/>
          <w:lang w:val="fr-CA"/>
        </w:rPr>
        <w:t>a</w:t>
      </w:r>
      <w:r w:rsidRPr="00AF4233">
        <w:rPr>
          <w:rFonts w:ascii="Arial Narrow" w:hAnsi="Arial Narrow" w:cs="Arial"/>
          <w:sz w:val="24"/>
          <w:szCs w:val="24"/>
          <w:lang w:val="fr-CA"/>
        </w:rPr>
        <w:t>nisations. La prise de position</w:t>
      </w:r>
      <w:r w:rsidR="008F0C01">
        <w:rPr>
          <w:rFonts w:ascii="Arial Narrow" w:hAnsi="Arial Narrow" w:cs="Arial"/>
          <w:sz w:val="24"/>
          <w:szCs w:val="24"/>
          <w:lang w:val="fr-CA"/>
        </w:rPr>
        <w:t xml:space="preserve"> complète, un résumé e</w:t>
      </w:r>
      <w:r w:rsidRPr="00AF4233">
        <w:rPr>
          <w:rFonts w:ascii="Arial Narrow" w:hAnsi="Arial Narrow" w:cs="Arial"/>
          <w:sz w:val="24"/>
          <w:szCs w:val="24"/>
          <w:lang w:val="fr-CA"/>
        </w:rPr>
        <w:t>t</w:t>
      </w:r>
      <w:r w:rsidR="008F0C01">
        <w:rPr>
          <w:rFonts w:ascii="Arial Narrow" w:hAnsi="Arial Narrow" w:cs="Arial"/>
          <w:sz w:val="24"/>
          <w:szCs w:val="24"/>
          <w:lang w:val="fr-CA"/>
        </w:rPr>
        <w:t xml:space="preserve"> </w:t>
      </w:r>
      <w:r w:rsidRPr="00AF4233">
        <w:rPr>
          <w:rFonts w:ascii="Arial Narrow" w:hAnsi="Arial Narrow" w:cs="Arial"/>
          <w:sz w:val="24"/>
          <w:szCs w:val="24"/>
          <w:lang w:val="fr-CA"/>
        </w:rPr>
        <w:t xml:space="preserve">la liste des </w:t>
      </w:r>
      <w:r w:rsidR="008F0C01" w:rsidRPr="00AF4233">
        <w:rPr>
          <w:rFonts w:ascii="Arial Narrow" w:hAnsi="Arial Narrow" w:cs="Arial"/>
          <w:sz w:val="24"/>
          <w:szCs w:val="24"/>
          <w:lang w:val="fr-CA"/>
        </w:rPr>
        <w:t>signataires</w:t>
      </w:r>
      <w:r w:rsidRPr="00AF4233">
        <w:rPr>
          <w:rFonts w:ascii="Arial Narrow" w:hAnsi="Arial Narrow" w:cs="Arial"/>
          <w:sz w:val="24"/>
          <w:szCs w:val="24"/>
          <w:lang w:val="fr-CA"/>
        </w:rPr>
        <w:t xml:space="preserve"> </w:t>
      </w:r>
      <w:r w:rsidR="008F0C01" w:rsidRPr="00AF4233">
        <w:rPr>
          <w:rFonts w:ascii="Arial Narrow" w:hAnsi="Arial Narrow" w:cs="Arial"/>
          <w:sz w:val="24"/>
          <w:szCs w:val="24"/>
          <w:lang w:val="fr-CA"/>
        </w:rPr>
        <w:t>est</w:t>
      </w:r>
      <w:r w:rsidRPr="00AF4233">
        <w:rPr>
          <w:rFonts w:ascii="Arial Narrow" w:hAnsi="Arial Narrow" w:cs="Arial"/>
          <w:sz w:val="24"/>
          <w:szCs w:val="24"/>
          <w:lang w:val="fr-CA"/>
        </w:rPr>
        <w:t xml:space="preserve"> disponible à </w:t>
      </w:r>
      <w:hyperlink r:id="rId8" w:history="1">
        <w:r w:rsidR="0096584D" w:rsidRPr="00AF4233">
          <w:rPr>
            <w:rStyle w:val="Hyperlink"/>
            <w:rFonts w:ascii="Arial Narrow" w:hAnsi="Arial Narrow" w:cs="Arial"/>
            <w:sz w:val="24"/>
            <w:szCs w:val="24"/>
            <w:lang w:val="fr-CA"/>
          </w:rPr>
          <w:t>www.ccna-ccnv.ca</w:t>
        </w:r>
      </w:hyperlink>
      <w:r w:rsidR="00B9358A" w:rsidRPr="00AF4233">
        <w:rPr>
          <w:rStyle w:val="Hyperlink"/>
          <w:rFonts w:ascii="Arial Narrow" w:hAnsi="Arial Narrow" w:cs="Arial"/>
          <w:sz w:val="24"/>
          <w:szCs w:val="24"/>
          <w:lang w:val="fr-CA"/>
        </w:rPr>
        <w:t>/aducanumab</w:t>
      </w:r>
      <w:r w:rsidRPr="00AF4233">
        <w:rPr>
          <w:rFonts w:ascii="Arial Narrow" w:hAnsi="Arial Narrow" w:cs="Arial"/>
          <w:sz w:val="24"/>
          <w:szCs w:val="24"/>
          <w:lang w:val="fr-CA"/>
        </w:rPr>
        <w:t>.</w:t>
      </w:r>
    </w:p>
    <w:p w14:paraId="62F9DB33" w14:textId="77777777" w:rsidR="00102306" w:rsidRPr="00AF4233" w:rsidRDefault="00102306" w:rsidP="00AA7AA1">
      <w:pPr>
        <w:rPr>
          <w:rFonts w:ascii="Arial Narrow" w:hAnsi="Arial Narrow" w:cs="Arial"/>
          <w:bCs/>
          <w:sz w:val="24"/>
          <w:szCs w:val="24"/>
          <w:lang w:val="fr-CA"/>
        </w:rPr>
      </w:pPr>
    </w:p>
    <w:p w14:paraId="265B0F51" w14:textId="77777777" w:rsidR="00E83452" w:rsidRPr="00AF4233" w:rsidRDefault="00572F0D" w:rsidP="00572F0D">
      <w:pPr>
        <w:ind w:left="360"/>
        <w:jc w:val="center"/>
        <w:rPr>
          <w:rFonts w:ascii="Arial Narrow" w:hAnsi="Arial Narrow" w:cs="Arial"/>
          <w:bCs/>
          <w:lang w:val="fr-CA"/>
        </w:rPr>
      </w:pPr>
      <w:r w:rsidRPr="00AF4233">
        <w:rPr>
          <w:rFonts w:ascii="Arial Narrow" w:hAnsi="Arial Narrow" w:cs="Arial"/>
          <w:bCs/>
          <w:lang w:val="fr-CA"/>
        </w:rPr>
        <w:t xml:space="preserve">– </w:t>
      </w:r>
      <w:r w:rsidR="00E83452" w:rsidRPr="00AF4233">
        <w:rPr>
          <w:rFonts w:ascii="Arial Narrow" w:hAnsi="Arial Narrow" w:cs="Arial"/>
          <w:bCs/>
          <w:lang w:val="fr-CA"/>
        </w:rPr>
        <w:t>30 –</w:t>
      </w:r>
    </w:p>
    <w:p w14:paraId="0E6768ED" w14:textId="5539751A" w:rsidR="00386B01" w:rsidRPr="00AF4233" w:rsidRDefault="00AF4233" w:rsidP="00A9565B">
      <w:pPr>
        <w:spacing w:after="0" w:line="240" w:lineRule="auto"/>
        <w:rPr>
          <w:rFonts w:ascii="Arial Narrow" w:hAnsi="Arial Narrow" w:cs="Arial"/>
          <w:bCs/>
          <w:sz w:val="24"/>
          <w:szCs w:val="24"/>
          <w:lang w:val="fr-CA"/>
        </w:rPr>
      </w:pPr>
      <w:r w:rsidRPr="00AF4233">
        <w:rPr>
          <w:rFonts w:ascii="Arial Narrow" w:hAnsi="Arial Narrow" w:cs="Arial"/>
          <w:bCs/>
          <w:sz w:val="24"/>
          <w:szCs w:val="24"/>
          <w:lang w:val="fr-CA"/>
        </w:rPr>
        <w:t>Personnes-ressources pour les médias </w:t>
      </w:r>
      <w:r w:rsidR="00572F0D" w:rsidRPr="00AF4233">
        <w:rPr>
          <w:rFonts w:ascii="Arial Narrow" w:hAnsi="Arial Narrow" w:cs="Arial"/>
          <w:bCs/>
          <w:sz w:val="24"/>
          <w:szCs w:val="24"/>
          <w:lang w:val="fr-CA"/>
        </w:rPr>
        <w:t>:</w:t>
      </w:r>
    </w:p>
    <w:p w14:paraId="5CCABC84" w14:textId="77777777" w:rsidR="005D6313" w:rsidRDefault="00A9565B" w:rsidP="00386B01">
      <w:pPr>
        <w:spacing w:after="0" w:line="240" w:lineRule="auto"/>
        <w:ind w:firstLine="720"/>
        <w:rPr>
          <w:rFonts w:ascii="Arial Narrow" w:hAnsi="Arial Narrow" w:cs="Arial"/>
          <w:bCs/>
          <w:sz w:val="24"/>
          <w:szCs w:val="24"/>
          <w:lang w:val="fr-CA"/>
        </w:rPr>
      </w:pPr>
      <w:r w:rsidRPr="00AF4233">
        <w:rPr>
          <w:rFonts w:ascii="Arial Narrow" w:hAnsi="Arial Narrow" w:cs="Arial"/>
          <w:bCs/>
          <w:sz w:val="24"/>
          <w:szCs w:val="24"/>
          <w:lang w:val="fr-CA"/>
        </w:rPr>
        <w:t xml:space="preserve">Patricia Keroack, </w:t>
      </w:r>
      <w:r w:rsidR="00AF4233" w:rsidRPr="00AF4233">
        <w:rPr>
          <w:rFonts w:ascii="Arial Narrow" w:hAnsi="Arial Narrow" w:cs="Arial"/>
          <w:bCs/>
          <w:sz w:val="24"/>
          <w:szCs w:val="24"/>
          <w:lang w:val="fr-CA"/>
        </w:rPr>
        <w:t>spécialiste en communications, CCNV</w:t>
      </w:r>
      <w:r w:rsidR="00572F0D" w:rsidRPr="00AF4233">
        <w:rPr>
          <w:rFonts w:ascii="Arial Narrow" w:hAnsi="Arial Narrow" w:cs="Arial"/>
          <w:bCs/>
          <w:sz w:val="24"/>
          <w:szCs w:val="24"/>
          <w:lang w:val="fr-CA"/>
        </w:rPr>
        <w:t>,</w:t>
      </w:r>
      <w:r w:rsidRPr="00AF4233">
        <w:rPr>
          <w:rFonts w:ascii="Arial Narrow" w:hAnsi="Arial Narrow" w:cs="Arial"/>
          <w:bCs/>
          <w:sz w:val="24"/>
          <w:szCs w:val="24"/>
          <w:lang w:val="fr-CA"/>
        </w:rPr>
        <w:t xml:space="preserve"> </w:t>
      </w:r>
      <w:r w:rsidR="00572F0D" w:rsidRPr="00AF4233">
        <w:rPr>
          <w:rFonts w:ascii="Arial Narrow" w:hAnsi="Arial Narrow" w:cs="Arial"/>
          <w:bCs/>
          <w:sz w:val="24"/>
          <w:szCs w:val="24"/>
          <w:lang w:val="fr-CA"/>
        </w:rPr>
        <w:t>(cell</w:t>
      </w:r>
      <w:r w:rsidR="00AF4233" w:rsidRPr="00AF4233">
        <w:rPr>
          <w:rFonts w:ascii="Arial Narrow" w:hAnsi="Arial Narrow" w:cs="Arial"/>
          <w:bCs/>
          <w:sz w:val="24"/>
          <w:szCs w:val="24"/>
          <w:lang w:val="fr-CA"/>
        </w:rPr>
        <w:t>.</w:t>
      </w:r>
      <w:r w:rsidR="00572F0D" w:rsidRPr="00AF4233">
        <w:rPr>
          <w:rFonts w:ascii="Arial Narrow" w:hAnsi="Arial Narrow" w:cs="Arial"/>
          <w:bCs/>
          <w:sz w:val="24"/>
          <w:szCs w:val="24"/>
          <w:lang w:val="fr-CA"/>
        </w:rPr>
        <w:t xml:space="preserve">) </w:t>
      </w:r>
      <w:r w:rsidR="00BB6A71" w:rsidRPr="00AF4233">
        <w:rPr>
          <w:rFonts w:ascii="Arial Narrow" w:hAnsi="Arial Narrow" w:cs="Arial"/>
          <w:bCs/>
          <w:sz w:val="24"/>
          <w:szCs w:val="24"/>
          <w:lang w:val="fr-CA"/>
        </w:rPr>
        <w:t>450 </w:t>
      </w:r>
      <w:r w:rsidRPr="00AF4233">
        <w:rPr>
          <w:rFonts w:ascii="Arial Narrow" w:hAnsi="Arial Narrow" w:cs="Arial"/>
          <w:bCs/>
          <w:sz w:val="24"/>
          <w:szCs w:val="24"/>
          <w:lang w:val="fr-CA"/>
        </w:rPr>
        <w:t>677-0361</w:t>
      </w:r>
    </w:p>
    <w:p w14:paraId="62B55CFA" w14:textId="727DBD0E" w:rsidR="00A9565B" w:rsidRPr="00AF4233" w:rsidRDefault="00A9565B" w:rsidP="00386B01">
      <w:pPr>
        <w:spacing w:after="0" w:line="240" w:lineRule="auto"/>
        <w:ind w:firstLine="720"/>
        <w:rPr>
          <w:rFonts w:ascii="Arial Narrow" w:hAnsi="Arial Narrow" w:cs="Arial"/>
          <w:bCs/>
          <w:sz w:val="24"/>
          <w:szCs w:val="24"/>
          <w:lang w:val="fr-CA"/>
        </w:rPr>
      </w:pPr>
      <w:r w:rsidRPr="00AF4233">
        <w:rPr>
          <w:rFonts w:ascii="Arial Narrow" w:hAnsi="Arial Narrow" w:cs="Arial"/>
          <w:bCs/>
          <w:sz w:val="24"/>
          <w:szCs w:val="24"/>
          <w:lang w:val="fr-CA"/>
        </w:rPr>
        <w:t xml:space="preserve">Ruth Kruger, </w:t>
      </w:r>
      <w:r w:rsidR="00AF4233" w:rsidRPr="00AF4233">
        <w:rPr>
          <w:rFonts w:ascii="Arial Narrow" w:hAnsi="Arial Narrow" w:cs="Arial"/>
          <w:bCs/>
          <w:sz w:val="24"/>
          <w:szCs w:val="24"/>
          <w:lang w:val="fr-CA"/>
        </w:rPr>
        <w:t>stratège – Communi</w:t>
      </w:r>
      <w:r w:rsidR="002333CB">
        <w:rPr>
          <w:rFonts w:ascii="Arial Narrow" w:hAnsi="Arial Narrow" w:cs="Arial"/>
          <w:bCs/>
          <w:sz w:val="24"/>
          <w:szCs w:val="24"/>
          <w:lang w:val="fr-CA"/>
        </w:rPr>
        <w:t>cations et Intervenants</w:t>
      </w:r>
      <w:r w:rsidRPr="00AF4233">
        <w:rPr>
          <w:rFonts w:ascii="Arial Narrow" w:hAnsi="Arial Narrow" w:cs="Arial"/>
          <w:bCs/>
          <w:sz w:val="24"/>
          <w:szCs w:val="24"/>
          <w:lang w:val="fr-CA"/>
        </w:rPr>
        <w:t>, ONDRI</w:t>
      </w:r>
      <w:r w:rsidR="00572F0D" w:rsidRPr="00AF4233">
        <w:rPr>
          <w:rFonts w:ascii="Arial Narrow" w:hAnsi="Arial Narrow" w:cs="Arial"/>
          <w:bCs/>
          <w:sz w:val="24"/>
          <w:szCs w:val="24"/>
          <w:lang w:val="fr-CA"/>
        </w:rPr>
        <w:t>, (cell</w:t>
      </w:r>
      <w:r w:rsidR="00BB6A71" w:rsidRPr="00AF4233">
        <w:rPr>
          <w:rFonts w:ascii="Arial Narrow" w:hAnsi="Arial Narrow" w:cs="Arial"/>
          <w:bCs/>
          <w:sz w:val="24"/>
          <w:szCs w:val="24"/>
          <w:lang w:val="fr-CA"/>
        </w:rPr>
        <w:t>.</w:t>
      </w:r>
      <w:r w:rsidR="00572F0D" w:rsidRPr="00AF4233">
        <w:rPr>
          <w:rFonts w:ascii="Arial Narrow" w:hAnsi="Arial Narrow" w:cs="Arial"/>
          <w:bCs/>
          <w:sz w:val="24"/>
          <w:szCs w:val="24"/>
          <w:lang w:val="fr-CA"/>
        </w:rPr>
        <w:t>)</w:t>
      </w:r>
      <w:r w:rsidR="00BB6A71" w:rsidRPr="00AF4233">
        <w:rPr>
          <w:rFonts w:ascii="Arial Narrow" w:hAnsi="Arial Narrow" w:cs="Arial"/>
          <w:bCs/>
          <w:sz w:val="24"/>
          <w:szCs w:val="24"/>
          <w:lang w:val="fr-CA"/>
        </w:rPr>
        <w:t xml:space="preserve"> 647 </w:t>
      </w:r>
      <w:r w:rsidRPr="00AF4233">
        <w:rPr>
          <w:rFonts w:ascii="Arial Narrow" w:hAnsi="Arial Narrow" w:cs="Arial"/>
          <w:bCs/>
          <w:sz w:val="24"/>
          <w:szCs w:val="24"/>
          <w:lang w:val="fr-CA"/>
        </w:rPr>
        <w:t>395-5374</w:t>
      </w:r>
    </w:p>
    <w:p w14:paraId="1E85A123" w14:textId="428FC44D" w:rsidR="005D6313" w:rsidRDefault="00A9565B" w:rsidP="00386B01">
      <w:pPr>
        <w:spacing w:after="0" w:line="240" w:lineRule="auto"/>
        <w:ind w:firstLine="720"/>
        <w:rPr>
          <w:rFonts w:ascii="Arial Narrow" w:hAnsi="Arial Narrow"/>
          <w:bCs/>
          <w:sz w:val="24"/>
          <w:szCs w:val="24"/>
          <w:lang w:val="fr-CA"/>
        </w:rPr>
      </w:pPr>
      <w:r w:rsidRPr="00AF4233">
        <w:rPr>
          <w:rFonts w:ascii="Arial Narrow" w:hAnsi="Arial Narrow" w:cs="Arial"/>
          <w:bCs/>
          <w:sz w:val="24"/>
          <w:szCs w:val="24"/>
          <w:lang w:val="fr-CA"/>
        </w:rPr>
        <w:t xml:space="preserve">Luca </w:t>
      </w:r>
      <w:r w:rsidR="00386B01" w:rsidRPr="00AF4233">
        <w:rPr>
          <w:rFonts w:ascii="Arial Narrow" w:hAnsi="Arial Narrow" w:cs="Arial"/>
          <w:bCs/>
          <w:sz w:val="24"/>
          <w:szCs w:val="24"/>
          <w:lang w:val="fr-CA"/>
        </w:rPr>
        <w:t xml:space="preserve">F. </w:t>
      </w:r>
      <w:r w:rsidRPr="00AF4233">
        <w:rPr>
          <w:rFonts w:ascii="Arial Narrow" w:hAnsi="Arial Narrow" w:cs="Arial"/>
          <w:bCs/>
          <w:sz w:val="24"/>
          <w:szCs w:val="24"/>
          <w:lang w:val="fr-CA"/>
        </w:rPr>
        <w:t xml:space="preserve">Pisterzi, </w:t>
      </w:r>
      <w:r w:rsidR="00AF4233" w:rsidRPr="00AF4233">
        <w:rPr>
          <w:rFonts w:ascii="Arial Narrow" w:hAnsi="Arial Narrow"/>
          <w:bCs/>
          <w:sz w:val="24"/>
          <w:szCs w:val="24"/>
          <w:lang w:val="fr-CA"/>
        </w:rPr>
        <w:t xml:space="preserve">directeur, </w:t>
      </w:r>
      <w:r w:rsidR="008F0C01" w:rsidRPr="00AF4233">
        <w:rPr>
          <w:rFonts w:ascii="Arial Narrow" w:hAnsi="Arial Narrow"/>
          <w:bCs/>
          <w:sz w:val="24"/>
          <w:szCs w:val="24"/>
          <w:lang w:val="fr-CA"/>
        </w:rPr>
        <w:t>Stratégie</w:t>
      </w:r>
      <w:r w:rsidR="00AF4233" w:rsidRPr="00AF4233">
        <w:rPr>
          <w:rFonts w:ascii="Arial Narrow" w:hAnsi="Arial Narrow"/>
          <w:bCs/>
          <w:sz w:val="24"/>
          <w:szCs w:val="24"/>
          <w:lang w:val="fr-CA"/>
        </w:rPr>
        <w:t xml:space="preserve"> et Opé</w:t>
      </w:r>
      <w:r w:rsidR="00386B01" w:rsidRPr="00AF4233">
        <w:rPr>
          <w:rFonts w:ascii="Arial Narrow" w:hAnsi="Arial Narrow"/>
          <w:bCs/>
          <w:sz w:val="24"/>
          <w:szCs w:val="24"/>
          <w:lang w:val="fr-CA"/>
        </w:rPr>
        <w:t xml:space="preserve">rations, TDRA, </w:t>
      </w:r>
      <w:hyperlink r:id="rId9" w:history="1">
        <w:r w:rsidR="00386B01" w:rsidRPr="00AF4233">
          <w:rPr>
            <w:rStyle w:val="Hyperlink"/>
            <w:rFonts w:ascii="Arial Narrow" w:hAnsi="Arial Narrow"/>
            <w:bCs/>
            <w:sz w:val="24"/>
            <w:szCs w:val="24"/>
            <w:lang w:val="fr-CA"/>
          </w:rPr>
          <w:t>Luca.Pisterzi@camh.ca</w:t>
        </w:r>
      </w:hyperlink>
    </w:p>
    <w:p w14:paraId="01DFE00E" w14:textId="74F2F93C" w:rsidR="00A9565B" w:rsidRPr="00AF4233" w:rsidRDefault="00386B01" w:rsidP="00386B01">
      <w:pPr>
        <w:spacing w:after="0" w:line="240" w:lineRule="auto"/>
        <w:ind w:firstLine="720"/>
        <w:rPr>
          <w:rFonts w:ascii="Arial Narrow" w:hAnsi="Arial Narrow"/>
          <w:sz w:val="24"/>
          <w:szCs w:val="24"/>
          <w:lang w:val="fr-CA"/>
        </w:rPr>
      </w:pPr>
      <w:r w:rsidRPr="00AF4233">
        <w:rPr>
          <w:rFonts w:ascii="Arial Narrow" w:hAnsi="Arial Narrow" w:cs="Arial"/>
          <w:bCs/>
          <w:sz w:val="24"/>
          <w:szCs w:val="24"/>
          <w:lang w:val="fr-CA"/>
        </w:rPr>
        <w:t xml:space="preserve">Isabelle Tiongson, </w:t>
      </w:r>
      <w:r w:rsidR="00AF4233" w:rsidRPr="00AF4233">
        <w:rPr>
          <w:rFonts w:ascii="Arial Narrow" w:hAnsi="Arial Narrow" w:cs="Arial"/>
          <w:bCs/>
          <w:sz w:val="24"/>
          <w:szCs w:val="24"/>
          <w:lang w:val="fr-CA"/>
        </w:rPr>
        <w:t>coordonnatrice principale de l</w:t>
      </w:r>
      <w:r w:rsidR="003164E8">
        <w:rPr>
          <w:rFonts w:ascii="Arial Narrow" w:hAnsi="Arial Narrow" w:cs="Arial"/>
          <w:bCs/>
          <w:sz w:val="24"/>
          <w:szCs w:val="24"/>
          <w:lang w:val="fr-CA"/>
        </w:rPr>
        <w:t>’</w:t>
      </w:r>
      <w:r w:rsidR="00AF4233" w:rsidRPr="00AF4233">
        <w:rPr>
          <w:rFonts w:ascii="Arial Narrow" w:hAnsi="Arial Narrow" w:cs="Arial"/>
          <w:bCs/>
          <w:sz w:val="24"/>
          <w:szCs w:val="24"/>
          <w:lang w:val="fr-CA"/>
        </w:rPr>
        <w:t>association</w:t>
      </w:r>
      <w:r w:rsidR="008F0C01">
        <w:rPr>
          <w:rFonts w:ascii="Arial Narrow" w:hAnsi="Arial Narrow" w:cs="Arial"/>
          <w:bCs/>
          <w:sz w:val="24"/>
          <w:szCs w:val="24"/>
          <w:lang w:val="fr-CA"/>
        </w:rPr>
        <w:t>, SCG</w:t>
      </w:r>
      <w:r w:rsidR="00572F0D" w:rsidRPr="00AF4233">
        <w:rPr>
          <w:rFonts w:ascii="Arial Narrow" w:hAnsi="Arial Narrow" w:cs="Arial"/>
          <w:bCs/>
          <w:sz w:val="24"/>
          <w:szCs w:val="24"/>
          <w:lang w:val="fr-CA"/>
        </w:rPr>
        <w:t>,</w:t>
      </w:r>
      <w:r w:rsidRPr="00AF4233">
        <w:rPr>
          <w:rFonts w:ascii="Arial Narrow" w:hAnsi="Arial Narrow" w:cs="Arial"/>
          <w:bCs/>
          <w:sz w:val="24"/>
          <w:szCs w:val="24"/>
          <w:lang w:val="fr-CA"/>
        </w:rPr>
        <w:t xml:space="preserve"> </w:t>
      </w:r>
      <w:r w:rsidR="00BB6A71" w:rsidRPr="00AF4233">
        <w:rPr>
          <w:rFonts w:ascii="Arial Narrow" w:hAnsi="Arial Narrow" w:cs="Arial"/>
          <w:sz w:val="24"/>
          <w:szCs w:val="24"/>
          <w:lang w:val="fr-CA"/>
        </w:rPr>
        <w:t>289 </w:t>
      </w:r>
      <w:r w:rsidRPr="00AF4233">
        <w:rPr>
          <w:rFonts w:ascii="Arial Narrow" w:hAnsi="Arial Narrow" w:cs="Arial"/>
          <w:sz w:val="24"/>
          <w:szCs w:val="24"/>
          <w:lang w:val="fr-CA"/>
        </w:rPr>
        <w:t>846-5380</w:t>
      </w:r>
      <w:r w:rsidR="00BB6A71" w:rsidRPr="00AF4233">
        <w:rPr>
          <w:rFonts w:ascii="Arial Narrow" w:hAnsi="Arial Narrow" w:cs="Arial"/>
          <w:sz w:val="24"/>
          <w:szCs w:val="24"/>
          <w:lang w:val="fr-CA"/>
        </w:rPr>
        <w:t>, poste</w:t>
      </w:r>
      <w:r w:rsidRPr="00AF4233">
        <w:rPr>
          <w:rFonts w:ascii="Arial Narrow" w:hAnsi="Arial Narrow" w:cs="Arial"/>
          <w:sz w:val="24"/>
          <w:szCs w:val="24"/>
          <w:lang w:val="fr-CA"/>
        </w:rPr>
        <w:t xml:space="preserve"> 224</w:t>
      </w:r>
    </w:p>
    <w:p w14:paraId="04A33721" w14:textId="77777777" w:rsidR="00A9565B" w:rsidRPr="00AF4233" w:rsidRDefault="00A9565B" w:rsidP="00AA7AA1">
      <w:pPr>
        <w:rPr>
          <w:rFonts w:ascii="Arial Narrow" w:hAnsi="Arial Narrow" w:cs="Arial"/>
          <w:bCs/>
          <w:sz w:val="24"/>
          <w:szCs w:val="24"/>
          <w:lang w:val="fr-CA"/>
        </w:rPr>
      </w:pPr>
    </w:p>
    <w:p w14:paraId="54E530A5" w14:textId="77777777" w:rsidR="007451F3" w:rsidRPr="00AF4233" w:rsidRDefault="007451F3" w:rsidP="00AA7AA1">
      <w:pPr>
        <w:rPr>
          <w:rFonts w:ascii="Arial Narrow" w:hAnsi="Arial Narrow" w:cs="Arial"/>
          <w:bCs/>
          <w:sz w:val="24"/>
          <w:szCs w:val="24"/>
          <w:lang w:val="fr-CA"/>
        </w:rPr>
      </w:pPr>
    </w:p>
    <w:p w14:paraId="38D824C2" w14:textId="4A8BBA74" w:rsidR="00AA7AA1" w:rsidRPr="0022608C" w:rsidRDefault="00AA7AA1">
      <w:pPr>
        <w:rPr>
          <w:rFonts w:ascii="Arial Narrow" w:hAnsi="Arial Narrow"/>
          <w:sz w:val="24"/>
          <w:szCs w:val="24"/>
        </w:rPr>
      </w:pPr>
      <w:bookmarkStart w:id="0" w:name="_GoBack"/>
      <w:bookmarkEnd w:id="0"/>
    </w:p>
    <w:sectPr w:rsidR="00AA7AA1" w:rsidRPr="00226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DBECE" w14:textId="77777777" w:rsidR="00BE5B9D" w:rsidRDefault="00BE5B9D" w:rsidP="00562D90">
      <w:pPr>
        <w:spacing w:after="0" w:line="240" w:lineRule="auto"/>
      </w:pPr>
      <w:r>
        <w:separator/>
      </w:r>
    </w:p>
  </w:endnote>
  <w:endnote w:type="continuationSeparator" w:id="0">
    <w:p w14:paraId="60E7D75C" w14:textId="77777777" w:rsidR="00BE5B9D" w:rsidRDefault="00BE5B9D" w:rsidP="0056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DD6A" w14:textId="77777777" w:rsidR="00BE5B9D" w:rsidRDefault="00BE5B9D" w:rsidP="00562D90">
      <w:pPr>
        <w:spacing w:after="0" w:line="240" w:lineRule="auto"/>
      </w:pPr>
      <w:r>
        <w:separator/>
      </w:r>
    </w:p>
  </w:footnote>
  <w:footnote w:type="continuationSeparator" w:id="0">
    <w:p w14:paraId="01E9FA19" w14:textId="77777777" w:rsidR="00BE5B9D" w:rsidRDefault="00BE5B9D" w:rsidP="00562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C087B"/>
    <w:multiLevelType w:val="hybridMultilevel"/>
    <w:tmpl w:val="C9681172"/>
    <w:lvl w:ilvl="0" w:tplc="12FE0E6C">
      <w:numFmt w:val="bullet"/>
      <w:lvlText w:val="-"/>
      <w:lvlJc w:val="left"/>
      <w:pPr>
        <w:ind w:left="720" w:hanging="360"/>
      </w:pPr>
      <w:rPr>
        <w:rFonts w:ascii="Arial Narrow" w:eastAsiaTheme="minorHAnsi" w:hAnsi="Arial Narrow"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E10594C"/>
    <w:multiLevelType w:val="hybridMultilevel"/>
    <w:tmpl w:val="F4D8B4A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1"/>
    <w:rsid w:val="00065440"/>
    <w:rsid w:val="00077E6A"/>
    <w:rsid w:val="000F2AD4"/>
    <w:rsid w:val="00102306"/>
    <w:rsid w:val="001161D5"/>
    <w:rsid w:val="001B733F"/>
    <w:rsid w:val="0020160B"/>
    <w:rsid w:val="0022608C"/>
    <w:rsid w:val="002333CB"/>
    <w:rsid w:val="00236696"/>
    <w:rsid w:val="0027452E"/>
    <w:rsid w:val="002F0D04"/>
    <w:rsid w:val="003164E8"/>
    <w:rsid w:val="0034037E"/>
    <w:rsid w:val="00352F3E"/>
    <w:rsid w:val="00386B01"/>
    <w:rsid w:val="003C475D"/>
    <w:rsid w:val="004243B3"/>
    <w:rsid w:val="00434020"/>
    <w:rsid w:val="00562D90"/>
    <w:rsid w:val="00572216"/>
    <w:rsid w:val="00572F0D"/>
    <w:rsid w:val="00591017"/>
    <w:rsid w:val="005A10CD"/>
    <w:rsid w:val="005B0259"/>
    <w:rsid w:val="005D6313"/>
    <w:rsid w:val="00622A38"/>
    <w:rsid w:val="0065517E"/>
    <w:rsid w:val="006B6CF8"/>
    <w:rsid w:val="007451F3"/>
    <w:rsid w:val="00796026"/>
    <w:rsid w:val="007B4370"/>
    <w:rsid w:val="007D6F5D"/>
    <w:rsid w:val="007E0E66"/>
    <w:rsid w:val="007E5D23"/>
    <w:rsid w:val="0080487E"/>
    <w:rsid w:val="008F0C01"/>
    <w:rsid w:val="008F1C1A"/>
    <w:rsid w:val="0096584D"/>
    <w:rsid w:val="00A61102"/>
    <w:rsid w:val="00A9565B"/>
    <w:rsid w:val="00AA7AA1"/>
    <w:rsid w:val="00AF4233"/>
    <w:rsid w:val="00B162E0"/>
    <w:rsid w:val="00B26652"/>
    <w:rsid w:val="00B34E53"/>
    <w:rsid w:val="00B3772B"/>
    <w:rsid w:val="00B73834"/>
    <w:rsid w:val="00B9358A"/>
    <w:rsid w:val="00BA0507"/>
    <w:rsid w:val="00BB6A71"/>
    <w:rsid w:val="00BB7307"/>
    <w:rsid w:val="00BE5B9D"/>
    <w:rsid w:val="00C36E1B"/>
    <w:rsid w:val="00C42DCE"/>
    <w:rsid w:val="00C47147"/>
    <w:rsid w:val="00C636D8"/>
    <w:rsid w:val="00D345B7"/>
    <w:rsid w:val="00D55FC5"/>
    <w:rsid w:val="00D93438"/>
    <w:rsid w:val="00E2094D"/>
    <w:rsid w:val="00E65F5C"/>
    <w:rsid w:val="00E83452"/>
    <w:rsid w:val="00EC2D84"/>
    <w:rsid w:val="00F06E7C"/>
    <w:rsid w:val="00FA22F8"/>
    <w:rsid w:val="00FC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968E"/>
  <w15:docId w15:val="{1B57FB9D-2FC6-4ED4-85CF-A9D22F58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9565B"/>
    <w:pPr>
      <w:spacing w:after="0" w:line="240" w:lineRule="auto"/>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AA1"/>
    <w:pPr>
      <w:spacing w:after="0" w:line="240" w:lineRule="auto"/>
      <w:ind w:left="720"/>
      <w:contextualSpacing/>
    </w:pPr>
    <w:rPr>
      <w:sz w:val="24"/>
      <w:szCs w:val="24"/>
      <w:lang w:val="en-CA"/>
    </w:rPr>
  </w:style>
  <w:style w:type="character" w:styleId="Hyperlink">
    <w:name w:val="Hyperlink"/>
    <w:rsid w:val="00AA7AA1"/>
    <w:rPr>
      <w:color w:val="0563C1"/>
      <w:u w:val="single"/>
    </w:rPr>
  </w:style>
  <w:style w:type="character" w:customStyle="1" w:styleId="Heading2Char">
    <w:name w:val="Heading 2 Char"/>
    <w:basedOn w:val="DefaultParagraphFont"/>
    <w:link w:val="Heading2"/>
    <w:uiPriority w:val="9"/>
    <w:rsid w:val="00A9565B"/>
    <w:rPr>
      <w:rFonts w:ascii="Arial" w:hAnsi="Arial" w:cs="Arial"/>
      <w:b/>
      <w:bCs/>
      <w:sz w:val="24"/>
      <w:szCs w:val="24"/>
    </w:rPr>
  </w:style>
  <w:style w:type="character" w:styleId="CommentReference">
    <w:name w:val="annotation reference"/>
    <w:basedOn w:val="DefaultParagraphFont"/>
    <w:uiPriority w:val="99"/>
    <w:semiHidden/>
    <w:unhideWhenUsed/>
    <w:rsid w:val="00572216"/>
    <w:rPr>
      <w:sz w:val="16"/>
      <w:szCs w:val="16"/>
    </w:rPr>
  </w:style>
  <w:style w:type="paragraph" w:styleId="CommentText">
    <w:name w:val="annotation text"/>
    <w:basedOn w:val="Normal"/>
    <w:link w:val="CommentTextChar"/>
    <w:uiPriority w:val="99"/>
    <w:semiHidden/>
    <w:unhideWhenUsed/>
    <w:rsid w:val="00572216"/>
    <w:pPr>
      <w:spacing w:line="240" w:lineRule="auto"/>
    </w:pPr>
    <w:rPr>
      <w:sz w:val="20"/>
      <w:szCs w:val="20"/>
    </w:rPr>
  </w:style>
  <w:style w:type="character" w:customStyle="1" w:styleId="CommentTextChar">
    <w:name w:val="Comment Text Char"/>
    <w:basedOn w:val="DefaultParagraphFont"/>
    <w:link w:val="CommentText"/>
    <w:uiPriority w:val="99"/>
    <w:semiHidden/>
    <w:rsid w:val="00572216"/>
    <w:rPr>
      <w:sz w:val="20"/>
      <w:szCs w:val="20"/>
    </w:rPr>
  </w:style>
  <w:style w:type="paragraph" w:styleId="CommentSubject">
    <w:name w:val="annotation subject"/>
    <w:basedOn w:val="CommentText"/>
    <w:next w:val="CommentText"/>
    <w:link w:val="CommentSubjectChar"/>
    <w:uiPriority w:val="99"/>
    <w:semiHidden/>
    <w:unhideWhenUsed/>
    <w:rsid w:val="00572216"/>
    <w:rPr>
      <w:b/>
      <w:bCs/>
    </w:rPr>
  </w:style>
  <w:style w:type="character" w:customStyle="1" w:styleId="CommentSubjectChar">
    <w:name w:val="Comment Subject Char"/>
    <w:basedOn w:val="CommentTextChar"/>
    <w:link w:val="CommentSubject"/>
    <w:uiPriority w:val="99"/>
    <w:semiHidden/>
    <w:rsid w:val="00572216"/>
    <w:rPr>
      <w:b/>
      <w:bCs/>
      <w:sz w:val="20"/>
      <w:szCs w:val="20"/>
    </w:rPr>
  </w:style>
  <w:style w:type="paragraph" w:styleId="BalloonText">
    <w:name w:val="Balloon Text"/>
    <w:basedOn w:val="Normal"/>
    <w:link w:val="BalloonTextChar"/>
    <w:uiPriority w:val="99"/>
    <w:semiHidden/>
    <w:unhideWhenUsed/>
    <w:rsid w:val="00572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16"/>
    <w:rPr>
      <w:rFonts w:ascii="Segoe UI" w:hAnsi="Segoe UI" w:cs="Segoe UI"/>
      <w:sz w:val="18"/>
      <w:szCs w:val="18"/>
    </w:rPr>
  </w:style>
  <w:style w:type="paragraph" w:styleId="Header">
    <w:name w:val="header"/>
    <w:basedOn w:val="Normal"/>
    <w:link w:val="HeaderChar"/>
    <w:uiPriority w:val="99"/>
    <w:unhideWhenUsed/>
    <w:rsid w:val="00562D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2D90"/>
  </w:style>
  <w:style w:type="paragraph" w:styleId="Footer">
    <w:name w:val="footer"/>
    <w:basedOn w:val="Normal"/>
    <w:link w:val="FooterChar"/>
    <w:uiPriority w:val="99"/>
    <w:unhideWhenUsed/>
    <w:rsid w:val="00562D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2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37118">
      <w:bodyDiv w:val="1"/>
      <w:marLeft w:val="0"/>
      <w:marRight w:val="0"/>
      <w:marTop w:val="0"/>
      <w:marBottom w:val="0"/>
      <w:divBdr>
        <w:top w:val="none" w:sz="0" w:space="0" w:color="auto"/>
        <w:left w:val="none" w:sz="0" w:space="0" w:color="auto"/>
        <w:bottom w:val="none" w:sz="0" w:space="0" w:color="auto"/>
        <w:right w:val="none" w:sz="0" w:space="0" w:color="auto"/>
      </w:divBdr>
    </w:div>
    <w:div w:id="7935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na-ccnv.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uca.Pisterzi@cam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Lady Davis Institute</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Keroack</dc:creator>
  <cp:keywords/>
  <dc:description/>
  <cp:lastModifiedBy>Patricia Keroack</cp:lastModifiedBy>
  <cp:revision>2</cp:revision>
  <dcterms:created xsi:type="dcterms:W3CDTF">2021-08-11T17:44:00Z</dcterms:created>
  <dcterms:modified xsi:type="dcterms:W3CDTF">2021-08-11T17:44:00Z</dcterms:modified>
</cp:coreProperties>
</file>